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B02A0" w14:textId="10A540B4" w:rsidR="00F23882" w:rsidRPr="00F23882" w:rsidRDefault="00F23882" w:rsidP="00F23882">
      <w:pPr>
        <w:numPr>
          <w:ilvl w:val="0"/>
          <w:numId w:val="2"/>
        </w:numPr>
      </w:pPr>
      <w:r w:rsidRPr="00F23882">
        <w:rPr>
          <w:b/>
          <w:bCs/>
        </w:rPr>
        <w:t>Your institution’s name</w:t>
      </w:r>
      <w:r>
        <w:rPr>
          <w:b/>
          <w:bCs/>
        </w:rPr>
        <w:t xml:space="preserve">: </w:t>
      </w:r>
      <w:r w:rsidRPr="00F23882">
        <w:t>Taft College</w:t>
      </w:r>
    </w:p>
    <w:p w14:paraId="683099CD" w14:textId="77777777" w:rsidR="00F23882" w:rsidRDefault="00F23882" w:rsidP="00F23882">
      <w:pPr>
        <w:numPr>
          <w:ilvl w:val="0"/>
          <w:numId w:val="2"/>
        </w:numPr>
        <w:rPr>
          <w:b/>
          <w:bCs/>
        </w:rPr>
      </w:pPr>
      <w:r w:rsidRPr="00F23882">
        <w:rPr>
          <w:b/>
          <w:bCs/>
        </w:rPr>
        <w:t>A description of areas in which your institution is doing well.</w:t>
      </w:r>
    </w:p>
    <w:p w14:paraId="0FCF704F" w14:textId="77777777" w:rsidR="001956AB" w:rsidRDefault="001956AB" w:rsidP="001956AB">
      <w:pPr>
        <w:ind w:left="360"/>
      </w:pPr>
      <w:r>
        <w:t>As a small, rural community college serving a region with historically low levels of educational attainment, Taft College plays a vital role in expanding access to higher education and workforce training. Despite limited resources, we have made strategic improvements to advance equity and student success:</w:t>
      </w:r>
    </w:p>
    <w:p w14:paraId="24143874" w14:textId="77777777" w:rsidR="001956AB" w:rsidRDefault="001956AB" w:rsidP="001956AB">
      <w:pPr>
        <w:pStyle w:val="ListParagraph"/>
        <w:numPr>
          <w:ilvl w:val="0"/>
          <w:numId w:val="4"/>
        </w:numPr>
      </w:pPr>
      <w:r>
        <w:t>We offer a variety of distance education courses, allowing students in remote areas to participate without geographic barriers.</w:t>
      </w:r>
    </w:p>
    <w:p w14:paraId="36C684FF" w14:textId="77777777" w:rsidR="001956AB" w:rsidRDefault="001956AB" w:rsidP="001956AB">
      <w:pPr>
        <w:pStyle w:val="ListParagraph"/>
        <w:numPr>
          <w:ilvl w:val="0"/>
          <w:numId w:val="4"/>
        </w:numPr>
      </w:pPr>
      <w:r>
        <w:t>Flexible scheduling—including evening, weekend, and asynchronous classes—supports working and non-traditional students.</w:t>
      </w:r>
    </w:p>
    <w:p w14:paraId="78E8EFB8" w14:textId="77777777" w:rsidR="001956AB" w:rsidRDefault="001956AB" w:rsidP="001956AB">
      <w:pPr>
        <w:pStyle w:val="ListParagraph"/>
        <w:numPr>
          <w:ilvl w:val="0"/>
          <w:numId w:val="4"/>
        </w:numPr>
      </w:pPr>
      <w:r>
        <w:t>Our Zero Cost Textbook (ZTC) initiative reduces financial barriers and promotes student retention.</w:t>
      </w:r>
    </w:p>
    <w:p w14:paraId="1B4151D1" w14:textId="77777777" w:rsidR="001956AB" w:rsidRDefault="001956AB" w:rsidP="001956AB">
      <w:pPr>
        <w:pStyle w:val="ListParagraph"/>
        <w:numPr>
          <w:ilvl w:val="0"/>
          <w:numId w:val="4"/>
        </w:numPr>
      </w:pPr>
      <w:r>
        <w:t>Expanding dual enrollment gives high school students, many of them first-generation, a strong start in college.</w:t>
      </w:r>
    </w:p>
    <w:p w14:paraId="33EC8F06" w14:textId="77777777" w:rsidR="001956AB" w:rsidRDefault="001956AB" w:rsidP="001956AB">
      <w:pPr>
        <w:pStyle w:val="ListParagraph"/>
        <w:numPr>
          <w:ilvl w:val="0"/>
          <w:numId w:val="4"/>
        </w:numPr>
      </w:pPr>
      <w:r>
        <w:t>Our growing CTE programs, particularly in Allied Health, respond to regional workforce needs.</w:t>
      </w:r>
    </w:p>
    <w:p w14:paraId="1537B9B1" w14:textId="77777777" w:rsidR="001956AB" w:rsidRDefault="001956AB" w:rsidP="001956AB">
      <w:pPr>
        <w:pStyle w:val="ListParagraph"/>
        <w:numPr>
          <w:ilvl w:val="0"/>
          <w:numId w:val="4"/>
        </w:numPr>
      </w:pPr>
      <w:r>
        <w:t>A recent cybersecurity and network infrastructure upgrade has strengthened the reliability and safety of our digital learning environment.</w:t>
      </w:r>
    </w:p>
    <w:p w14:paraId="1DEB0089" w14:textId="6B6E16A7" w:rsidR="00B5632C" w:rsidRDefault="00B5632C" w:rsidP="001956AB">
      <w:pPr>
        <w:pStyle w:val="ListParagraph"/>
        <w:numPr>
          <w:ilvl w:val="0"/>
          <w:numId w:val="4"/>
        </w:numPr>
      </w:pPr>
      <w:r>
        <w:t xml:space="preserve">Strong support programs, including tutoring, supplemental instruction, MESA, and faculty-led writing and math labs, encourage student success. </w:t>
      </w:r>
    </w:p>
    <w:p w14:paraId="26BACEE5" w14:textId="129F72B3" w:rsidR="00B5632C" w:rsidRDefault="00B5632C" w:rsidP="001956AB">
      <w:pPr>
        <w:pStyle w:val="ListParagraph"/>
        <w:numPr>
          <w:ilvl w:val="0"/>
          <w:numId w:val="4"/>
        </w:numPr>
      </w:pPr>
      <w:r>
        <w:t>Residence halls provide housing for students who want to live on campus.</w:t>
      </w:r>
    </w:p>
    <w:p w14:paraId="2B8939F8" w14:textId="77777777" w:rsidR="00F23882" w:rsidRDefault="00F23882" w:rsidP="00F23882">
      <w:pPr>
        <w:numPr>
          <w:ilvl w:val="0"/>
          <w:numId w:val="2"/>
        </w:numPr>
        <w:rPr>
          <w:b/>
          <w:bCs/>
        </w:rPr>
      </w:pPr>
      <w:r w:rsidRPr="00F23882">
        <w:rPr>
          <w:b/>
          <w:bCs/>
        </w:rPr>
        <w:t>A description of your institution's areas of focus for PRT or Mini-PRT assistance that will help advance your institutional effectiveness even more. Previous visits to institutions have addressed diverse topics such as enrollment management, student learning outcomes assessment, integrated planning, fiscal strategy, technology applications, and professional development.</w:t>
      </w:r>
    </w:p>
    <w:p w14:paraId="1A4A82F2" w14:textId="051DE69C" w:rsidR="001956AB" w:rsidRDefault="00372F8C" w:rsidP="001956AB">
      <w:pPr>
        <w:ind w:left="360"/>
      </w:pPr>
      <w:r>
        <w:t xml:space="preserve">We </w:t>
      </w:r>
      <w:r w:rsidR="00B5632C">
        <w:t xml:space="preserve">are </w:t>
      </w:r>
      <w:r w:rsidR="001956AB">
        <w:t xml:space="preserve">seeking PRT assistance </w:t>
      </w:r>
      <w:r w:rsidR="00B5632C">
        <w:t xml:space="preserve">in two broad areas of college success: recruitment, and retention. Regarding recruitment, we are requesting assistance to </w:t>
      </w:r>
      <w:r w:rsidR="00B01B1C">
        <w:t xml:space="preserve">modernize and </w:t>
      </w:r>
      <w:r w:rsidR="00B5632C">
        <w:t xml:space="preserve">strengthen our marketing department to improve its effectiveness. </w:t>
      </w:r>
      <w:proofErr w:type="gramStart"/>
      <w:r w:rsidR="00B01B1C">
        <w:t>Specific to retention</w:t>
      </w:r>
      <w:proofErr w:type="gramEnd"/>
      <w:r w:rsidR="00B5632C">
        <w:t xml:space="preserve">, we would like </w:t>
      </w:r>
      <w:r w:rsidR="001956AB">
        <w:t>to implement the Caring Campus initiative, expand</w:t>
      </w:r>
      <w:r w:rsidR="00B01B1C">
        <w:t>ing</w:t>
      </w:r>
      <w:r w:rsidR="001956AB">
        <w:t xml:space="preserve"> professional development</w:t>
      </w:r>
      <w:r w:rsidR="00B01B1C">
        <w:t xml:space="preserve">. Integrated with </w:t>
      </w:r>
      <w:proofErr w:type="gramStart"/>
      <w:r w:rsidR="00B01B1C">
        <w:t>all of</w:t>
      </w:r>
      <w:proofErr w:type="gramEnd"/>
      <w:r w:rsidR="00B01B1C">
        <w:t xml:space="preserve"> our college processes, we would like to</w:t>
      </w:r>
      <w:r w:rsidR="001956AB">
        <w:t xml:space="preserve"> enhance cybersecurity awareness and infrastructure.</w:t>
      </w:r>
    </w:p>
    <w:p w14:paraId="666E0AF6" w14:textId="3922796B" w:rsidR="001956AB" w:rsidRDefault="00B01B1C" w:rsidP="001956AB">
      <w:pPr>
        <w:ind w:left="360"/>
      </w:pPr>
      <w:r>
        <w:t>Among these goals, Caring Campus requires the highest amo</w:t>
      </w:r>
      <w:r w:rsidR="00042320">
        <w:t xml:space="preserve">unt </w:t>
      </w:r>
      <w:r>
        <w:t xml:space="preserve">of targeted funding. </w:t>
      </w:r>
      <w:r w:rsidR="001956AB">
        <w:t xml:space="preserve">We believe Caring Campus is a transformative opportunity to improve student outcomes, institutional culture, and overall effectiveness. In a rural setting where many </w:t>
      </w:r>
      <w:r w:rsidR="001956AB">
        <w:lastRenderedPageBreak/>
        <w:t>students face social, economic, and academic barriers, fostering a sense of belonging is essential. Through research-based coaching, faculty and staff will adopt behaviors that improve student engagement, reduce equity gaps, and build a more inclusive, student-centered environment.</w:t>
      </w:r>
    </w:p>
    <w:p w14:paraId="00ED2BB3" w14:textId="7B397801" w:rsidR="001956AB" w:rsidRDefault="001956AB" w:rsidP="001956AB">
      <w:pPr>
        <w:ind w:left="360"/>
      </w:pPr>
      <w:r>
        <w:t>Professional development is key to sustaining this cultural shift. Caring Campus includes customized coaching for faculty and classified professionals, who will work in teams to implement behavior-based strategies aligned with student success. Support from cabinet and department leaders will ensure alignment across the institution and promote long-term impact. Additionally, the initiative strengthens enrollment management by improving collaboration and communication among departments, faculty, staff, and students.</w:t>
      </w:r>
    </w:p>
    <w:p w14:paraId="3FC586FC" w14:textId="66BDA709" w:rsidR="001956AB" w:rsidRDefault="001956AB" w:rsidP="001956AB">
      <w:pPr>
        <w:ind w:left="360"/>
      </w:pPr>
      <w:r>
        <w:t>On the technology side, we aim to improve campus-wide cybersecurity readiness. We plan to offer practical training for faculty and staff on topics like phishing awareness, MFA setup, and safe internet practices. For our IT team, we seek targeted professional development on firewall configuration, Microsoft security tools, and portal management, as well as strategies to train and support non-technical staff.</w:t>
      </w:r>
    </w:p>
    <w:p w14:paraId="5D291542" w14:textId="14BDFB09" w:rsidR="001956AB" w:rsidRDefault="001956AB" w:rsidP="001956AB">
      <w:pPr>
        <w:ind w:left="360"/>
      </w:pPr>
      <w:r>
        <w:t xml:space="preserve">To support these efforts, we intend to hire a cybersecurity consultant to assess our </w:t>
      </w:r>
      <w:proofErr w:type="gramStart"/>
      <w:r>
        <w:t>systems—</w:t>
      </w:r>
      <w:proofErr w:type="gramEnd"/>
      <w:r>
        <w:t xml:space="preserve">including the portal, firewall, and Microsoft </w:t>
      </w:r>
      <w:proofErr w:type="gramStart"/>
      <w:r>
        <w:t>accounts—</w:t>
      </w:r>
      <w:proofErr w:type="gramEnd"/>
      <w:r>
        <w:t xml:space="preserve">provide </w:t>
      </w:r>
      <w:proofErr w:type="gramStart"/>
      <w:r>
        <w:t>recommendations, and</w:t>
      </w:r>
      <w:proofErr w:type="gramEnd"/>
      <w:r>
        <w:t xml:space="preserve"> assist with implementation. This may involve evaluating a shift to Microsoft Entrada for MFA. While hardware is not the primary focus, we would also explore options for replacing our aging Cisco firewall in consultation with the expert.</w:t>
      </w:r>
    </w:p>
    <w:p w14:paraId="3C08D8B7" w14:textId="443FCFD9" w:rsidR="009F52F4" w:rsidRPr="00F23882" w:rsidRDefault="001956AB" w:rsidP="001956AB">
      <w:pPr>
        <w:ind w:left="360"/>
      </w:pPr>
      <w:r>
        <w:t>These initiatives will enhance student support, improve operational resilience, and strengthen our digital infrastructure.</w:t>
      </w:r>
    </w:p>
    <w:p w14:paraId="4A81B988" w14:textId="77777777" w:rsidR="00F23882" w:rsidRDefault="00F23882" w:rsidP="00F23882">
      <w:pPr>
        <w:numPr>
          <w:ilvl w:val="0"/>
          <w:numId w:val="2"/>
        </w:numPr>
        <w:rPr>
          <w:b/>
          <w:bCs/>
        </w:rPr>
      </w:pPr>
      <w:r w:rsidRPr="00F23882">
        <w:rPr>
          <w:b/>
          <w:bCs/>
        </w:rPr>
        <w:t>A description of the rationale for these areas of focus.</w:t>
      </w:r>
    </w:p>
    <w:p w14:paraId="74069437" w14:textId="699844B9" w:rsidR="001956AB" w:rsidRDefault="001956AB" w:rsidP="001956AB">
      <w:pPr>
        <w:ind w:left="360"/>
      </w:pPr>
      <w:r>
        <w:t>Taft College serves a predominantly under-resourced and marginalized student population. Post-pandemic, we continue to face significant challenges with enrollment and retention, including a 40% first-year attrition rate. These issues are further compounded by our rural location and limited access to resources.</w:t>
      </w:r>
    </w:p>
    <w:p w14:paraId="7A1CEEDB" w14:textId="4B6B0BCB" w:rsidR="001956AB" w:rsidRDefault="00B01B1C" w:rsidP="001956AB">
      <w:pPr>
        <w:ind w:left="360"/>
      </w:pPr>
      <w:r>
        <w:t xml:space="preserve">Effective marketing would reach our potential students in a manner to which they relate. </w:t>
      </w:r>
      <w:r w:rsidR="001956AB">
        <w:t xml:space="preserve">The Caring Campus initiative directly addresses </w:t>
      </w:r>
      <w:r>
        <w:t xml:space="preserve">enrollment and retention </w:t>
      </w:r>
      <w:r w:rsidR="001956AB">
        <w:t xml:space="preserve">challenges by improving student connectedness, which </w:t>
      </w:r>
      <w:proofErr w:type="gramStart"/>
      <w:r w:rsidR="001956AB">
        <w:t>is</w:t>
      </w:r>
      <w:proofErr w:type="gramEnd"/>
      <w:r w:rsidR="001956AB">
        <w:t xml:space="preserve"> proven to boost persistence and reduce equity gaps. In a setting where students often feel isolated, this shift is both timely and necessary.</w:t>
      </w:r>
    </w:p>
    <w:p w14:paraId="13031B0A" w14:textId="0F22B4BB" w:rsidR="001956AB" w:rsidRDefault="001956AB" w:rsidP="001956AB">
      <w:pPr>
        <w:ind w:left="360"/>
      </w:pPr>
      <w:r>
        <w:lastRenderedPageBreak/>
        <w:t>At the same time, professional development ensures that faculty and staff have the skills and institutional support needed to implement sustainable, student-centered practices.</w:t>
      </w:r>
    </w:p>
    <w:p w14:paraId="6A724397" w14:textId="05A3E47A" w:rsidR="001956AB" w:rsidRDefault="001956AB" w:rsidP="001956AB">
      <w:pPr>
        <w:ind w:left="360"/>
      </w:pPr>
      <w:r>
        <w:t xml:space="preserve">Our cybersecurity focus is essential to </w:t>
      </w:r>
      <w:r w:rsidR="00B01B1C">
        <w:t>protect</w:t>
      </w:r>
      <w:r>
        <w:t xml:space="preserve"> college systems and ensur</w:t>
      </w:r>
      <w:r w:rsidR="00B01B1C">
        <w:t>e</w:t>
      </w:r>
      <w:r>
        <w:t xml:space="preserve"> safe access for all users. Since over half of security breaches originate from human error or social engineering, educating staff on phishing, MFA, and safe practices will significantly reduce risk. Additionally, transitioning to Microsoft Entrada will streamline our security environment, especially as we shift from Active Directory to Intune-based management.</w:t>
      </w:r>
    </w:p>
    <w:p w14:paraId="4A0CE342" w14:textId="53A89345" w:rsidR="009F52F4" w:rsidRPr="00F23882" w:rsidRDefault="001956AB" w:rsidP="001956AB">
      <w:pPr>
        <w:ind w:left="360"/>
      </w:pPr>
      <w:r>
        <w:t>These targeted focus areas—</w:t>
      </w:r>
      <w:r w:rsidR="00B01B1C">
        <w:t xml:space="preserve">reaching our students, fostering </w:t>
      </w:r>
      <w:r>
        <w:t>belonging, professional development, and cybersecurity—address our most urgent institutional challenges and will strengthen both student outcomes and operational resilience.</w:t>
      </w:r>
    </w:p>
    <w:p w14:paraId="6DB77976" w14:textId="77777777" w:rsidR="00F23882" w:rsidRDefault="00F23882" w:rsidP="00F23882">
      <w:pPr>
        <w:numPr>
          <w:ilvl w:val="0"/>
          <w:numId w:val="2"/>
        </w:numPr>
        <w:rPr>
          <w:b/>
          <w:bCs/>
        </w:rPr>
      </w:pPr>
      <w:r w:rsidRPr="00F23882">
        <w:rPr>
          <w:b/>
          <w:bCs/>
        </w:rPr>
        <w:t>A description of how these areas of focus relate to the Core Commitments in the Vision for Success and help advance Vision 2030.</w:t>
      </w:r>
    </w:p>
    <w:p w14:paraId="1AF95A43" w14:textId="34D46574" w:rsidR="001956AB" w:rsidRDefault="001956AB" w:rsidP="001956AB">
      <w:pPr>
        <w:ind w:left="360"/>
      </w:pPr>
      <w:r>
        <w:t>Our proposed focus areas align closely with the Core Commitments of the Vision for Success and the strategic goals outlined in Vision 2030:</w:t>
      </w:r>
    </w:p>
    <w:p w14:paraId="3D93F826" w14:textId="68C23FA9" w:rsidR="001956AB" w:rsidRDefault="00B01B1C" w:rsidP="001956AB">
      <w:pPr>
        <w:ind w:left="360"/>
      </w:pPr>
      <w:r>
        <w:t xml:space="preserve">Effective marketing will reach students who are selecting a college. Then, </w:t>
      </w:r>
      <w:r w:rsidR="001956AB">
        <w:t xml:space="preserve">Caring Campus supports the </w:t>
      </w:r>
      <w:r>
        <w:t xml:space="preserve">Vision 2030 </w:t>
      </w:r>
      <w:r w:rsidR="001956AB">
        <w:t>commitment to “design and decide with the student in mind” by promoting inclusive, engagement-focused practices that improve belonging and reduce equity gaps.</w:t>
      </w:r>
      <w:r>
        <w:t xml:space="preserve"> </w:t>
      </w:r>
    </w:p>
    <w:p w14:paraId="5267AFFD" w14:textId="1355EC9D" w:rsidR="001956AB" w:rsidRDefault="001956AB" w:rsidP="001956AB">
      <w:pPr>
        <w:ind w:left="360"/>
      </w:pPr>
      <w:r>
        <w:t>Professional development fosters a culture of continuous improvement and collaboration across the institution.</w:t>
      </w:r>
    </w:p>
    <w:p w14:paraId="592A32C3" w14:textId="6262F77C" w:rsidR="001956AB" w:rsidRDefault="001956AB" w:rsidP="001956AB">
      <w:pPr>
        <w:ind w:left="360"/>
      </w:pPr>
      <w:r>
        <w:t>Cybersecurity enhancements support Vision 2030’s emphasis on digital transformation and equitable technology access, ensuring our students can participate fully and safely in online learning.</w:t>
      </w:r>
    </w:p>
    <w:p w14:paraId="4116AFB3" w14:textId="2A95185D" w:rsidR="009F52F4" w:rsidRPr="00F23882" w:rsidRDefault="001956AB" w:rsidP="001956AB">
      <w:pPr>
        <w:ind w:left="360"/>
      </w:pPr>
      <w:r>
        <w:t>Together, these initiatives advance systemwide goals to increase completion, close equity gaps, and build more resilient, student-centered institutions—particularly in rural and marginalized communities like ours.</w:t>
      </w:r>
    </w:p>
    <w:p w14:paraId="32BB82A7" w14:textId="7B9FF53D" w:rsidR="002D5B71" w:rsidRDefault="00F23882" w:rsidP="00F23882">
      <w:pPr>
        <w:numPr>
          <w:ilvl w:val="0"/>
          <w:numId w:val="2"/>
        </w:numPr>
        <w:rPr>
          <w:b/>
          <w:bCs/>
        </w:rPr>
      </w:pPr>
      <w:r w:rsidRPr="00F23882">
        <w:rPr>
          <w:b/>
          <w:bCs/>
        </w:rPr>
        <w:t>The signature of the institution’s CEO.</w:t>
      </w:r>
    </w:p>
    <w:p w14:paraId="429029EF" w14:textId="77777777" w:rsidR="002D5B71" w:rsidRDefault="002D5B71">
      <w:pPr>
        <w:rPr>
          <w:b/>
          <w:bCs/>
        </w:rPr>
      </w:pPr>
      <w:r>
        <w:rPr>
          <w:b/>
          <w:bCs/>
        </w:rPr>
        <w:br w:type="page"/>
      </w:r>
    </w:p>
    <w:p w14:paraId="3FD22345" w14:textId="508D7B62" w:rsidR="00F23882" w:rsidRDefault="002D5B71" w:rsidP="002D5B71">
      <w:pPr>
        <w:ind w:left="720"/>
        <w:rPr>
          <w:b/>
          <w:bCs/>
        </w:rPr>
      </w:pPr>
      <w:r>
        <w:rPr>
          <w:b/>
          <w:bCs/>
        </w:rPr>
        <w:lastRenderedPageBreak/>
        <w:t>IEPI description:</w:t>
      </w:r>
    </w:p>
    <w:p w14:paraId="20B05696" w14:textId="6D6077B0" w:rsidR="002D5B71" w:rsidRDefault="002D5B71" w:rsidP="002D5B71">
      <w:pPr>
        <w:ind w:left="720"/>
        <w:rPr>
          <w:b/>
          <w:bCs/>
        </w:rPr>
      </w:pPr>
      <w:hyperlink r:id="rId5" w:history="1">
        <w:r w:rsidRPr="001B3FEB">
          <w:rPr>
            <w:rStyle w:val="Hyperlink"/>
            <w:b/>
            <w:bCs/>
          </w:rPr>
          <w:t>https://www.cccco.edu/About-Us/Chancellors-Office/Divisions/Institutional-Effectiveness/Institutional-Effectiveness-Partnership-Initiative</w:t>
        </w:r>
      </w:hyperlink>
    </w:p>
    <w:p w14:paraId="3A91F58C" w14:textId="77777777" w:rsidR="002D5B71" w:rsidRDefault="002D5B71" w:rsidP="002D5B71">
      <w:pPr>
        <w:ind w:left="720"/>
        <w:rPr>
          <w:b/>
          <w:bCs/>
        </w:rPr>
      </w:pPr>
    </w:p>
    <w:p w14:paraId="2E6731CC" w14:textId="77777777" w:rsidR="002D5B71" w:rsidRDefault="002D5B71" w:rsidP="002D5B71">
      <w:pPr>
        <w:ind w:left="720"/>
        <w:rPr>
          <w:b/>
          <w:bCs/>
        </w:rPr>
      </w:pPr>
    </w:p>
    <w:p w14:paraId="17484842" w14:textId="45AF5F2E" w:rsidR="002D5B71" w:rsidRDefault="002D5B71" w:rsidP="002D5B71">
      <w:pPr>
        <w:ind w:left="720"/>
        <w:rPr>
          <w:b/>
          <w:bCs/>
        </w:rPr>
      </w:pPr>
      <w:r>
        <w:rPr>
          <w:b/>
          <w:bCs/>
        </w:rPr>
        <w:t>Caring Campus website:</w:t>
      </w:r>
    </w:p>
    <w:p w14:paraId="2855B8F6" w14:textId="159C2105" w:rsidR="002D5B71" w:rsidRDefault="002D5B71" w:rsidP="002D5B71">
      <w:pPr>
        <w:ind w:left="720"/>
        <w:rPr>
          <w:b/>
          <w:bCs/>
        </w:rPr>
      </w:pPr>
      <w:hyperlink r:id="rId6" w:history="1">
        <w:r w:rsidRPr="001B3FEB">
          <w:rPr>
            <w:rStyle w:val="Hyperlink"/>
            <w:b/>
            <w:bCs/>
          </w:rPr>
          <w:t>https://iebcnow.org/caring-campus/</w:t>
        </w:r>
      </w:hyperlink>
    </w:p>
    <w:p w14:paraId="421CF96D" w14:textId="77777777" w:rsidR="002D5B71" w:rsidRDefault="002D5B71" w:rsidP="002D5B71">
      <w:pPr>
        <w:ind w:left="720"/>
        <w:rPr>
          <w:b/>
          <w:bCs/>
        </w:rPr>
      </w:pPr>
    </w:p>
    <w:p w14:paraId="4A19723E" w14:textId="7722AB75" w:rsidR="002D5B71" w:rsidRDefault="002D5B71" w:rsidP="002D5B71">
      <w:pPr>
        <w:ind w:left="720"/>
        <w:rPr>
          <w:b/>
          <w:bCs/>
        </w:rPr>
      </w:pPr>
      <w:r>
        <w:rPr>
          <w:b/>
          <w:bCs/>
        </w:rPr>
        <w:t>Quick facts:</w:t>
      </w:r>
    </w:p>
    <w:p w14:paraId="354AD8E5" w14:textId="26C4BD25" w:rsidR="002D5B71" w:rsidRDefault="002D5B71" w:rsidP="002D5B71">
      <w:pPr>
        <w:ind w:left="720"/>
        <w:rPr>
          <w:b/>
          <w:bCs/>
        </w:rPr>
      </w:pPr>
      <w:hyperlink r:id="rId7" w:history="1">
        <w:r w:rsidRPr="001B3FEB">
          <w:rPr>
            <w:rStyle w:val="Hyperlink"/>
            <w:b/>
            <w:bCs/>
          </w:rPr>
          <w:t>https://iebcnow.org/wp-content/uploads/2023/09/Caring-Campus-Quick-Facts-NAT-v4.pdf</w:t>
        </w:r>
      </w:hyperlink>
    </w:p>
    <w:p w14:paraId="2E716C7B" w14:textId="77777777" w:rsidR="002D5B71" w:rsidRDefault="002D5B71" w:rsidP="002D5B71">
      <w:pPr>
        <w:ind w:left="720"/>
        <w:rPr>
          <w:b/>
          <w:bCs/>
        </w:rPr>
      </w:pPr>
    </w:p>
    <w:p w14:paraId="09C283C9" w14:textId="6DB2D1E9" w:rsidR="002D5B71" w:rsidRDefault="002D5B71" w:rsidP="002D5B71">
      <w:pPr>
        <w:ind w:left="720"/>
        <w:rPr>
          <w:b/>
          <w:bCs/>
        </w:rPr>
      </w:pPr>
      <w:r>
        <w:rPr>
          <w:b/>
          <w:bCs/>
        </w:rPr>
        <w:t>Caring Campus for faculty:</w:t>
      </w:r>
    </w:p>
    <w:p w14:paraId="2CF6124D" w14:textId="00D79E11" w:rsidR="002D5B71" w:rsidRPr="00F23882" w:rsidRDefault="002D5B71" w:rsidP="002D5B71">
      <w:pPr>
        <w:ind w:left="720"/>
        <w:rPr>
          <w:b/>
          <w:bCs/>
        </w:rPr>
      </w:pPr>
      <w:hyperlink r:id="rId8" w:history="1">
        <w:r w:rsidRPr="001B3FEB">
          <w:rPr>
            <w:rStyle w:val="Hyperlink"/>
            <w:b/>
            <w:bCs/>
          </w:rPr>
          <w:t>https://iebcnow.org/wp-content/uploads/2023/03/CaringCampusFaculty-ImprovingStudentConnectedness-March2023-01.pdf</w:t>
        </w:r>
      </w:hyperlink>
      <w:r>
        <w:rPr>
          <w:b/>
          <w:bCs/>
        </w:rPr>
        <w:t xml:space="preserve"> </w:t>
      </w:r>
    </w:p>
    <w:p w14:paraId="3EA699C4" w14:textId="77777777" w:rsidR="00F23882" w:rsidRDefault="00F23882">
      <w:pPr>
        <w:rPr>
          <w:b/>
          <w:bCs/>
        </w:rPr>
      </w:pPr>
    </w:p>
    <w:p w14:paraId="2CD38712" w14:textId="2709D556" w:rsidR="002D5B71" w:rsidRDefault="002D5B71" w:rsidP="002D5B71">
      <w:pPr>
        <w:ind w:firstLine="720"/>
        <w:rPr>
          <w:b/>
          <w:bCs/>
        </w:rPr>
      </w:pPr>
      <w:r>
        <w:rPr>
          <w:b/>
          <w:bCs/>
        </w:rPr>
        <w:t>Caring Campus behavioral commitments</w:t>
      </w:r>
      <w:r w:rsidR="00105784">
        <w:rPr>
          <w:b/>
          <w:bCs/>
        </w:rPr>
        <w:t xml:space="preserve"> for faculty</w:t>
      </w:r>
      <w:r>
        <w:rPr>
          <w:b/>
          <w:bCs/>
        </w:rPr>
        <w:t>:</w:t>
      </w:r>
    </w:p>
    <w:p w14:paraId="4A4218E5" w14:textId="5F030E42" w:rsidR="002D5B71" w:rsidRDefault="002D5B71" w:rsidP="002D5B71">
      <w:pPr>
        <w:ind w:firstLine="720"/>
        <w:rPr>
          <w:b/>
          <w:bCs/>
        </w:rPr>
      </w:pPr>
      <w:hyperlink r:id="rId9" w:history="1">
        <w:r w:rsidRPr="001B3FEB">
          <w:rPr>
            <w:rStyle w:val="Hyperlink"/>
            <w:b/>
            <w:bCs/>
          </w:rPr>
          <w:t>https://iebcnow.org/wp-content/uploads/2023/03/IEBC_CC-Top-six-commitments-faculty-2021_REVISED02.pdf</w:t>
        </w:r>
      </w:hyperlink>
    </w:p>
    <w:p w14:paraId="4A869D45" w14:textId="77777777" w:rsidR="002D5B71" w:rsidRDefault="002D5B71" w:rsidP="002D5B71">
      <w:pPr>
        <w:ind w:firstLine="720"/>
        <w:rPr>
          <w:b/>
          <w:bCs/>
        </w:rPr>
      </w:pPr>
    </w:p>
    <w:p w14:paraId="23ADF742" w14:textId="05B23935" w:rsidR="002D5B71" w:rsidRDefault="002D5B71" w:rsidP="002D5B71">
      <w:pPr>
        <w:ind w:firstLine="720"/>
        <w:rPr>
          <w:b/>
          <w:bCs/>
        </w:rPr>
      </w:pPr>
      <w:r>
        <w:rPr>
          <w:b/>
          <w:bCs/>
        </w:rPr>
        <w:t>Caring Campus for staff:</w:t>
      </w:r>
    </w:p>
    <w:p w14:paraId="13CDE616" w14:textId="11D6BCED" w:rsidR="002D5B71" w:rsidRDefault="002D5B71" w:rsidP="002D5B71">
      <w:pPr>
        <w:ind w:firstLine="720"/>
        <w:rPr>
          <w:b/>
          <w:bCs/>
        </w:rPr>
      </w:pPr>
      <w:hyperlink r:id="rId10" w:history="1">
        <w:r w:rsidRPr="001B3FEB">
          <w:rPr>
            <w:rStyle w:val="Hyperlink"/>
            <w:b/>
            <w:bCs/>
          </w:rPr>
          <w:t>https://iebcnow.org/wp-content/uploads/2022/12/Caring-Campus-Staff-Engaging-Professional-Staff-in-Student-Success-Efforts.pdf</w:t>
        </w:r>
      </w:hyperlink>
      <w:r>
        <w:rPr>
          <w:b/>
          <w:bCs/>
        </w:rPr>
        <w:t xml:space="preserve"> </w:t>
      </w:r>
    </w:p>
    <w:p w14:paraId="166BA018" w14:textId="77777777" w:rsidR="00105784" w:rsidRDefault="00105784" w:rsidP="002D5B71">
      <w:pPr>
        <w:ind w:firstLine="720"/>
        <w:rPr>
          <w:b/>
          <w:bCs/>
        </w:rPr>
      </w:pPr>
    </w:p>
    <w:p w14:paraId="4A3EF377" w14:textId="29089356" w:rsidR="00105784" w:rsidRDefault="00105784" w:rsidP="002D5B71">
      <w:pPr>
        <w:ind w:firstLine="720"/>
        <w:rPr>
          <w:b/>
          <w:bCs/>
        </w:rPr>
      </w:pPr>
      <w:r>
        <w:rPr>
          <w:b/>
          <w:bCs/>
        </w:rPr>
        <w:t>Caring Campus behavioral commitments for staff:</w:t>
      </w:r>
    </w:p>
    <w:p w14:paraId="7ED6CA01" w14:textId="7C16504C" w:rsidR="00105784" w:rsidRDefault="00105784" w:rsidP="002D5B71">
      <w:pPr>
        <w:ind w:firstLine="720"/>
        <w:rPr>
          <w:b/>
          <w:bCs/>
        </w:rPr>
      </w:pPr>
      <w:hyperlink r:id="rId11" w:history="1">
        <w:r w:rsidRPr="001B3FEB">
          <w:rPr>
            <w:rStyle w:val="Hyperlink"/>
            <w:b/>
            <w:bCs/>
          </w:rPr>
          <w:t>https://www.iebcnow.org/wp-content/uploads/2021/03/IEBC_CC-Top-Five-Staff-Behavioral-Commitments-2021.pdf</w:t>
        </w:r>
      </w:hyperlink>
      <w:r>
        <w:rPr>
          <w:b/>
          <w:bCs/>
        </w:rPr>
        <w:t xml:space="preserve"> </w:t>
      </w:r>
    </w:p>
    <w:p w14:paraId="69DDA825" w14:textId="77777777" w:rsidR="002D5B71" w:rsidRDefault="002D5B71">
      <w:pPr>
        <w:rPr>
          <w:b/>
          <w:bCs/>
        </w:rPr>
      </w:pPr>
    </w:p>
    <w:sectPr w:rsidR="002D5B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DB1DEA"/>
    <w:multiLevelType w:val="multilevel"/>
    <w:tmpl w:val="219A8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75C3BAE"/>
    <w:multiLevelType w:val="multilevel"/>
    <w:tmpl w:val="A9940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AB773EF"/>
    <w:multiLevelType w:val="hybridMultilevel"/>
    <w:tmpl w:val="C2420B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3165C1B"/>
    <w:multiLevelType w:val="hybridMultilevel"/>
    <w:tmpl w:val="920C51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45605908">
    <w:abstractNumId w:val="0"/>
  </w:num>
  <w:num w:numId="2" w16cid:durableId="686105759">
    <w:abstractNumId w:val="1"/>
  </w:num>
  <w:num w:numId="3" w16cid:durableId="1035082308">
    <w:abstractNumId w:val="2"/>
  </w:num>
  <w:num w:numId="4" w16cid:durableId="5503822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62C"/>
    <w:rsid w:val="00042320"/>
    <w:rsid w:val="00105784"/>
    <w:rsid w:val="001956AB"/>
    <w:rsid w:val="002D01E8"/>
    <w:rsid w:val="002D5B71"/>
    <w:rsid w:val="00372F8C"/>
    <w:rsid w:val="003C44FA"/>
    <w:rsid w:val="003E3FEC"/>
    <w:rsid w:val="004436EA"/>
    <w:rsid w:val="00470E48"/>
    <w:rsid w:val="00660AF7"/>
    <w:rsid w:val="0077392D"/>
    <w:rsid w:val="00810780"/>
    <w:rsid w:val="0084462C"/>
    <w:rsid w:val="00847D57"/>
    <w:rsid w:val="00850F0E"/>
    <w:rsid w:val="00852231"/>
    <w:rsid w:val="008C47B2"/>
    <w:rsid w:val="00982846"/>
    <w:rsid w:val="009F52F4"/>
    <w:rsid w:val="00A41B59"/>
    <w:rsid w:val="00B01B1C"/>
    <w:rsid w:val="00B5632C"/>
    <w:rsid w:val="00BD108C"/>
    <w:rsid w:val="00D72E88"/>
    <w:rsid w:val="00DA3B30"/>
    <w:rsid w:val="00E30535"/>
    <w:rsid w:val="00F23882"/>
    <w:rsid w:val="00F72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BF668"/>
  <w15:chartTrackingRefBased/>
  <w15:docId w15:val="{CA1364CA-4A15-42D0-B8D7-D53047DD5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46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46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46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46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46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46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46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46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46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46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46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46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46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46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46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46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46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462C"/>
    <w:rPr>
      <w:rFonts w:eastAsiaTheme="majorEastAsia" w:cstheme="majorBidi"/>
      <w:color w:val="272727" w:themeColor="text1" w:themeTint="D8"/>
    </w:rPr>
  </w:style>
  <w:style w:type="paragraph" w:styleId="Title">
    <w:name w:val="Title"/>
    <w:basedOn w:val="Normal"/>
    <w:next w:val="Normal"/>
    <w:link w:val="TitleChar"/>
    <w:uiPriority w:val="10"/>
    <w:qFormat/>
    <w:rsid w:val="008446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46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46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46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462C"/>
    <w:pPr>
      <w:spacing w:before="160"/>
      <w:jc w:val="center"/>
    </w:pPr>
    <w:rPr>
      <w:i/>
      <w:iCs/>
      <w:color w:val="404040" w:themeColor="text1" w:themeTint="BF"/>
    </w:rPr>
  </w:style>
  <w:style w:type="character" w:customStyle="1" w:styleId="QuoteChar">
    <w:name w:val="Quote Char"/>
    <w:basedOn w:val="DefaultParagraphFont"/>
    <w:link w:val="Quote"/>
    <w:uiPriority w:val="29"/>
    <w:rsid w:val="0084462C"/>
    <w:rPr>
      <w:i/>
      <w:iCs/>
      <w:color w:val="404040" w:themeColor="text1" w:themeTint="BF"/>
    </w:rPr>
  </w:style>
  <w:style w:type="paragraph" w:styleId="ListParagraph">
    <w:name w:val="List Paragraph"/>
    <w:basedOn w:val="Normal"/>
    <w:uiPriority w:val="34"/>
    <w:qFormat/>
    <w:rsid w:val="0084462C"/>
    <w:pPr>
      <w:ind w:left="720"/>
      <w:contextualSpacing/>
    </w:pPr>
  </w:style>
  <w:style w:type="character" w:styleId="IntenseEmphasis">
    <w:name w:val="Intense Emphasis"/>
    <w:basedOn w:val="DefaultParagraphFont"/>
    <w:uiPriority w:val="21"/>
    <w:qFormat/>
    <w:rsid w:val="0084462C"/>
    <w:rPr>
      <w:i/>
      <w:iCs/>
      <w:color w:val="0F4761" w:themeColor="accent1" w:themeShade="BF"/>
    </w:rPr>
  </w:style>
  <w:style w:type="paragraph" w:styleId="IntenseQuote">
    <w:name w:val="Intense Quote"/>
    <w:basedOn w:val="Normal"/>
    <w:next w:val="Normal"/>
    <w:link w:val="IntenseQuoteChar"/>
    <w:uiPriority w:val="30"/>
    <w:qFormat/>
    <w:rsid w:val="008446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462C"/>
    <w:rPr>
      <w:i/>
      <w:iCs/>
      <w:color w:val="0F4761" w:themeColor="accent1" w:themeShade="BF"/>
    </w:rPr>
  </w:style>
  <w:style w:type="character" w:styleId="IntenseReference">
    <w:name w:val="Intense Reference"/>
    <w:basedOn w:val="DefaultParagraphFont"/>
    <w:uiPriority w:val="32"/>
    <w:qFormat/>
    <w:rsid w:val="0084462C"/>
    <w:rPr>
      <w:b/>
      <w:bCs/>
      <w:smallCaps/>
      <w:color w:val="0F4761" w:themeColor="accent1" w:themeShade="BF"/>
      <w:spacing w:val="5"/>
    </w:rPr>
  </w:style>
  <w:style w:type="character" w:styleId="Hyperlink">
    <w:name w:val="Hyperlink"/>
    <w:basedOn w:val="DefaultParagraphFont"/>
    <w:uiPriority w:val="99"/>
    <w:unhideWhenUsed/>
    <w:rsid w:val="002D5B71"/>
    <w:rPr>
      <w:color w:val="467886" w:themeColor="hyperlink"/>
      <w:u w:val="single"/>
    </w:rPr>
  </w:style>
  <w:style w:type="character" w:styleId="UnresolvedMention">
    <w:name w:val="Unresolved Mention"/>
    <w:basedOn w:val="DefaultParagraphFont"/>
    <w:uiPriority w:val="99"/>
    <w:semiHidden/>
    <w:unhideWhenUsed/>
    <w:rsid w:val="002D5B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ebcnow.org/wp-content/uploads/2023/03/CaringCampusFaculty-ImprovingStudentConnectedness-March2023-01.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ebcnow.org/wp-content/uploads/2023/09/Caring-Campus-Quick-Facts-NAT-v4.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ebcnow.org/caring-campus/" TargetMode="External"/><Relationship Id="rId11" Type="http://schemas.openxmlformats.org/officeDocument/2006/relationships/hyperlink" Target="https://www.iebcnow.org/wp-content/uploads/2021/03/IEBC_CC-Top-Five-Staff-Behavioral-Commitments-2021.pdf" TargetMode="External"/><Relationship Id="rId5" Type="http://schemas.openxmlformats.org/officeDocument/2006/relationships/hyperlink" Target="https://www.cccco.edu/About-Us/Chancellors-Office/Divisions/Institutional-Effectiveness/Institutional-Effectiveness-Partnership-Initiative" TargetMode="External"/><Relationship Id="rId10" Type="http://schemas.openxmlformats.org/officeDocument/2006/relationships/hyperlink" Target="https://iebcnow.org/wp-content/uploads/2022/12/Caring-Campus-Staff-Engaging-Professional-Staff-in-Student-Success-Efforts.pdf" TargetMode="External"/><Relationship Id="rId4" Type="http://schemas.openxmlformats.org/officeDocument/2006/relationships/webSettings" Target="webSettings.xml"/><Relationship Id="rId9" Type="http://schemas.openxmlformats.org/officeDocument/2006/relationships/hyperlink" Target="https://iebcnow.org/wp-content/uploads/2023/03/IEBC_CC-Top-six-commitments-faculty-2021_REVISED0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1278</Words>
  <Characters>7287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Bormann</dc:creator>
  <cp:keywords/>
  <dc:description/>
  <cp:lastModifiedBy>Leslie Minor</cp:lastModifiedBy>
  <cp:revision>2</cp:revision>
  <cp:lastPrinted>2025-12-10T23:52:00Z</cp:lastPrinted>
  <dcterms:created xsi:type="dcterms:W3CDTF">2025-12-16T17:02:00Z</dcterms:created>
  <dcterms:modified xsi:type="dcterms:W3CDTF">2025-12-16T17:02:00Z</dcterms:modified>
</cp:coreProperties>
</file>