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5CD0" w14:textId="449A6AF3" w:rsidR="003861BC" w:rsidRPr="00756375" w:rsidRDefault="003861BC" w:rsidP="003861BC">
      <w:pPr>
        <w:rPr>
          <w:sz w:val="24"/>
          <w:szCs w:val="24"/>
        </w:rPr>
      </w:pPr>
      <w:bookmarkStart w:id="0" w:name="_GoBack"/>
      <w:bookmarkEnd w:id="0"/>
    </w:p>
    <w:p w14:paraId="12AD5575" w14:textId="77777777" w:rsidR="003861BC" w:rsidRPr="00756375" w:rsidRDefault="003861BC" w:rsidP="003861BC">
      <w:pPr>
        <w:jc w:val="center"/>
        <w:rPr>
          <w:sz w:val="24"/>
          <w:szCs w:val="24"/>
        </w:rPr>
      </w:pPr>
    </w:p>
    <w:p w14:paraId="1EB43553" w14:textId="77777777" w:rsidR="003861BC" w:rsidRPr="00756375" w:rsidRDefault="003861BC" w:rsidP="003861BC">
      <w:pPr>
        <w:jc w:val="center"/>
        <w:rPr>
          <w:sz w:val="24"/>
          <w:szCs w:val="24"/>
        </w:rPr>
      </w:pPr>
    </w:p>
    <w:p w14:paraId="026E74DB" w14:textId="77777777" w:rsidR="003861BC" w:rsidRPr="00756375" w:rsidRDefault="003861BC" w:rsidP="003861BC">
      <w:pPr>
        <w:jc w:val="center"/>
        <w:rPr>
          <w:sz w:val="24"/>
          <w:szCs w:val="24"/>
        </w:rPr>
      </w:pPr>
    </w:p>
    <w:p w14:paraId="62859A29" w14:textId="52B17012" w:rsidR="003861BC" w:rsidRPr="00756375" w:rsidRDefault="000B1B16" w:rsidP="003861BC">
      <w:pPr>
        <w:jc w:val="center"/>
        <w:rPr>
          <w:sz w:val="24"/>
          <w:szCs w:val="24"/>
        </w:rPr>
      </w:pPr>
      <w:r w:rsidRPr="00756375">
        <w:rPr>
          <w:b/>
          <w:noProof/>
          <w:sz w:val="24"/>
          <w:szCs w:val="24"/>
        </w:rPr>
        <w:drawing>
          <wp:inline distT="0" distB="0" distL="0" distR="0" wp14:anchorId="7C254238" wp14:editId="3C6A5CD3">
            <wp:extent cx="5197290" cy="2453853"/>
            <wp:effectExtent l="0" t="0" r="3810" b="3810"/>
            <wp:docPr id="1457150626"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50626" name="Picture 1" descr="A yellow and black logo&#10;&#10;AI-generated content may be incorrect."/>
                    <pic:cNvPicPr/>
                  </pic:nvPicPr>
                  <pic:blipFill>
                    <a:blip r:embed="rId11"/>
                    <a:stretch>
                      <a:fillRect/>
                    </a:stretch>
                  </pic:blipFill>
                  <pic:spPr>
                    <a:xfrm>
                      <a:off x="0" y="0"/>
                      <a:ext cx="5197290" cy="2453853"/>
                    </a:xfrm>
                    <a:prstGeom prst="rect">
                      <a:avLst/>
                    </a:prstGeom>
                  </pic:spPr>
                </pic:pic>
              </a:graphicData>
            </a:graphic>
          </wp:inline>
        </w:drawing>
      </w:r>
    </w:p>
    <w:p w14:paraId="3A77F99E" w14:textId="77777777" w:rsidR="003861BC" w:rsidRPr="00756375" w:rsidRDefault="003861BC" w:rsidP="003861BC">
      <w:pPr>
        <w:jc w:val="center"/>
        <w:rPr>
          <w:sz w:val="24"/>
          <w:szCs w:val="24"/>
        </w:rPr>
      </w:pPr>
    </w:p>
    <w:p w14:paraId="77ED338E" w14:textId="0D03EDD2" w:rsidR="003861BC" w:rsidRPr="00756375" w:rsidRDefault="003861BC" w:rsidP="0025153B">
      <w:pPr>
        <w:ind w:right="36"/>
        <w:jc w:val="center"/>
        <w:rPr>
          <w:b/>
          <w:sz w:val="24"/>
          <w:szCs w:val="24"/>
        </w:rPr>
      </w:pPr>
    </w:p>
    <w:p w14:paraId="2234FD73" w14:textId="77777777" w:rsidR="009C2D12" w:rsidRPr="00756375" w:rsidRDefault="003861BC" w:rsidP="0025153B">
      <w:pPr>
        <w:ind w:right="-54"/>
        <w:jc w:val="center"/>
        <w:rPr>
          <w:b/>
          <w:sz w:val="24"/>
          <w:szCs w:val="24"/>
        </w:rPr>
      </w:pPr>
      <w:r w:rsidRPr="00756375">
        <w:rPr>
          <w:b/>
          <w:sz w:val="24"/>
          <w:szCs w:val="24"/>
        </w:rPr>
        <w:t>Midterm Report</w:t>
      </w:r>
      <w:r w:rsidR="000E470D" w:rsidRPr="00756375">
        <w:rPr>
          <w:b/>
          <w:sz w:val="24"/>
          <w:szCs w:val="24"/>
        </w:rPr>
        <w:t xml:space="preserve"> </w:t>
      </w:r>
    </w:p>
    <w:p w14:paraId="5E9068F5" w14:textId="77777777" w:rsidR="00AA73E4" w:rsidRPr="00756375" w:rsidRDefault="00AA73E4" w:rsidP="0025153B">
      <w:pPr>
        <w:ind w:right="-54"/>
        <w:jc w:val="center"/>
        <w:rPr>
          <w:b/>
          <w:sz w:val="24"/>
          <w:szCs w:val="24"/>
        </w:rPr>
      </w:pPr>
    </w:p>
    <w:p w14:paraId="5E5857CE" w14:textId="5777D581" w:rsidR="003861BC" w:rsidRPr="00756375" w:rsidRDefault="000E470D" w:rsidP="000B1B16">
      <w:pPr>
        <w:ind w:right="-54"/>
        <w:jc w:val="center"/>
        <w:rPr>
          <w:b/>
          <w:sz w:val="24"/>
          <w:szCs w:val="24"/>
        </w:rPr>
      </w:pPr>
      <w:r w:rsidRPr="00756375">
        <w:rPr>
          <w:b/>
          <w:sz w:val="24"/>
          <w:szCs w:val="24"/>
          <w:highlight w:val="cyan"/>
        </w:rPr>
        <w:t>(</w:t>
      </w:r>
      <w:r w:rsidR="00705DA9" w:rsidRPr="00756375">
        <w:rPr>
          <w:b/>
          <w:sz w:val="24"/>
          <w:szCs w:val="24"/>
          <w:highlight w:val="cyan"/>
        </w:rPr>
        <w:t xml:space="preserve">Final </w:t>
      </w:r>
      <w:r w:rsidRPr="00756375">
        <w:rPr>
          <w:b/>
          <w:sz w:val="24"/>
          <w:szCs w:val="24"/>
          <w:highlight w:val="cyan"/>
        </w:rPr>
        <w:t>Draft</w:t>
      </w:r>
      <w:r w:rsidR="00AA73E4" w:rsidRPr="00756375">
        <w:rPr>
          <w:b/>
          <w:sz w:val="24"/>
          <w:szCs w:val="24"/>
          <w:highlight w:val="cyan"/>
        </w:rPr>
        <w:t xml:space="preserve"> </w:t>
      </w:r>
      <w:r w:rsidR="00705DA9" w:rsidRPr="00756375">
        <w:rPr>
          <w:b/>
          <w:sz w:val="24"/>
          <w:szCs w:val="24"/>
          <w:highlight w:val="cyan"/>
        </w:rPr>
        <w:t>for Approval</w:t>
      </w:r>
      <w:r w:rsidR="00AA73E4" w:rsidRPr="00756375">
        <w:rPr>
          <w:b/>
          <w:sz w:val="24"/>
          <w:szCs w:val="24"/>
          <w:highlight w:val="cyan"/>
        </w:rPr>
        <w:t xml:space="preserve">– </w:t>
      </w:r>
      <w:r w:rsidR="00705DA9" w:rsidRPr="00756375">
        <w:rPr>
          <w:b/>
          <w:sz w:val="24"/>
          <w:szCs w:val="24"/>
          <w:highlight w:val="cyan"/>
        </w:rPr>
        <w:t>September</w:t>
      </w:r>
      <w:r w:rsidR="00AA73E4" w:rsidRPr="00756375">
        <w:rPr>
          <w:b/>
          <w:sz w:val="24"/>
          <w:szCs w:val="24"/>
          <w:highlight w:val="cyan"/>
        </w:rPr>
        <w:t xml:space="preserve"> 2025)</w:t>
      </w:r>
    </w:p>
    <w:p w14:paraId="7E2D6B6C" w14:textId="77777777" w:rsidR="003861BC" w:rsidRPr="00756375" w:rsidRDefault="003861BC" w:rsidP="003861BC">
      <w:pPr>
        <w:jc w:val="center"/>
        <w:rPr>
          <w:b/>
          <w:sz w:val="24"/>
          <w:szCs w:val="24"/>
        </w:rPr>
      </w:pPr>
    </w:p>
    <w:p w14:paraId="2F7F1C86" w14:textId="77777777" w:rsidR="003861BC" w:rsidRPr="00756375" w:rsidRDefault="003861BC" w:rsidP="003861BC">
      <w:pPr>
        <w:jc w:val="center"/>
        <w:rPr>
          <w:b/>
          <w:sz w:val="24"/>
          <w:szCs w:val="24"/>
        </w:rPr>
      </w:pPr>
    </w:p>
    <w:p w14:paraId="5F883620" w14:textId="07FDCEA3" w:rsidR="003861BC" w:rsidRPr="00756375" w:rsidRDefault="003861BC" w:rsidP="003861BC">
      <w:pPr>
        <w:jc w:val="center"/>
        <w:rPr>
          <w:sz w:val="24"/>
          <w:szCs w:val="24"/>
        </w:rPr>
      </w:pPr>
      <w:r w:rsidRPr="00756375">
        <w:rPr>
          <w:sz w:val="24"/>
          <w:szCs w:val="24"/>
        </w:rPr>
        <w:t>Submitted by</w:t>
      </w:r>
    </w:p>
    <w:p w14:paraId="6D48A1B5" w14:textId="34EAF65E" w:rsidR="003861BC" w:rsidRPr="00756375" w:rsidRDefault="00A3479B" w:rsidP="003861BC">
      <w:pPr>
        <w:jc w:val="center"/>
        <w:rPr>
          <w:sz w:val="24"/>
          <w:szCs w:val="24"/>
        </w:rPr>
      </w:pPr>
      <w:r w:rsidRPr="00756375">
        <w:rPr>
          <w:sz w:val="24"/>
          <w:szCs w:val="24"/>
        </w:rPr>
        <w:t>Taft College</w:t>
      </w:r>
    </w:p>
    <w:p w14:paraId="7FA8EA6F" w14:textId="7B0A67ED" w:rsidR="00A3479B" w:rsidRPr="00756375" w:rsidRDefault="00A3479B" w:rsidP="003861BC">
      <w:pPr>
        <w:jc w:val="center"/>
        <w:rPr>
          <w:sz w:val="24"/>
          <w:szCs w:val="24"/>
        </w:rPr>
      </w:pPr>
      <w:r w:rsidRPr="00756375">
        <w:rPr>
          <w:sz w:val="24"/>
          <w:szCs w:val="24"/>
        </w:rPr>
        <w:t>29 Cougar Ct. Taft</w:t>
      </w:r>
      <w:r w:rsidR="00347F50" w:rsidRPr="00756375">
        <w:rPr>
          <w:sz w:val="24"/>
          <w:szCs w:val="24"/>
        </w:rPr>
        <w:t>,</w:t>
      </w:r>
      <w:r w:rsidRPr="00756375">
        <w:rPr>
          <w:sz w:val="24"/>
          <w:szCs w:val="24"/>
        </w:rPr>
        <w:t xml:space="preserve"> CA</w:t>
      </w:r>
      <w:r w:rsidR="0025153B" w:rsidRPr="00756375">
        <w:rPr>
          <w:sz w:val="24"/>
          <w:szCs w:val="24"/>
        </w:rPr>
        <w:t xml:space="preserve"> 93268</w:t>
      </w:r>
    </w:p>
    <w:p w14:paraId="16708C7A" w14:textId="77777777" w:rsidR="003861BC" w:rsidRPr="00756375" w:rsidRDefault="003861BC" w:rsidP="003861BC">
      <w:pPr>
        <w:jc w:val="center"/>
        <w:rPr>
          <w:sz w:val="24"/>
          <w:szCs w:val="24"/>
        </w:rPr>
      </w:pPr>
    </w:p>
    <w:p w14:paraId="76C9D133" w14:textId="77777777" w:rsidR="003861BC" w:rsidRPr="00756375" w:rsidRDefault="003861BC" w:rsidP="003861BC">
      <w:pPr>
        <w:jc w:val="center"/>
        <w:rPr>
          <w:sz w:val="24"/>
          <w:szCs w:val="24"/>
        </w:rPr>
      </w:pPr>
      <w:r w:rsidRPr="00756375">
        <w:rPr>
          <w:sz w:val="24"/>
          <w:szCs w:val="24"/>
        </w:rPr>
        <w:t>to</w:t>
      </w:r>
    </w:p>
    <w:p w14:paraId="376B8A2A" w14:textId="77777777" w:rsidR="003861BC" w:rsidRPr="00756375" w:rsidRDefault="003861BC" w:rsidP="003861BC">
      <w:pPr>
        <w:jc w:val="center"/>
        <w:rPr>
          <w:sz w:val="24"/>
          <w:szCs w:val="24"/>
        </w:rPr>
      </w:pPr>
    </w:p>
    <w:p w14:paraId="33A031D1" w14:textId="77777777" w:rsidR="003861BC" w:rsidRPr="00756375" w:rsidRDefault="003861BC" w:rsidP="003861BC">
      <w:pPr>
        <w:jc w:val="center"/>
        <w:rPr>
          <w:sz w:val="24"/>
          <w:szCs w:val="24"/>
        </w:rPr>
      </w:pPr>
      <w:r w:rsidRPr="00756375">
        <w:rPr>
          <w:sz w:val="24"/>
          <w:szCs w:val="24"/>
        </w:rPr>
        <w:t>Accrediting Commission for Community and Junior Colleges</w:t>
      </w:r>
    </w:p>
    <w:p w14:paraId="23A4007C" w14:textId="77777777" w:rsidR="003861BC" w:rsidRPr="00756375" w:rsidRDefault="003861BC" w:rsidP="003861BC">
      <w:pPr>
        <w:jc w:val="center"/>
        <w:rPr>
          <w:sz w:val="24"/>
          <w:szCs w:val="24"/>
        </w:rPr>
      </w:pPr>
    </w:p>
    <w:p w14:paraId="65B35B8D" w14:textId="328F0317" w:rsidR="003861BC" w:rsidRPr="00756375" w:rsidRDefault="00A3479B" w:rsidP="003861BC">
      <w:pPr>
        <w:jc w:val="center"/>
        <w:rPr>
          <w:sz w:val="24"/>
          <w:szCs w:val="24"/>
        </w:rPr>
      </w:pPr>
      <w:r w:rsidRPr="00756375">
        <w:rPr>
          <w:sz w:val="24"/>
          <w:szCs w:val="24"/>
        </w:rPr>
        <w:t>October 2025</w:t>
      </w:r>
    </w:p>
    <w:p w14:paraId="2CCC2D81" w14:textId="77777777" w:rsidR="003861BC" w:rsidRPr="00756375" w:rsidRDefault="003861BC" w:rsidP="003861BC">
      <w:pPr>
        <w:jc w:val="center"/>
        <w:rPr>
          <w:sz w:val="24"/>
          <w:szCs w:val="24"/>
        </w:rPr>
      </w:pPr>
    </w:p>
    <w:p w14:paraId="2FFA7C51" w14:textId="77777777" w:rsidR="003861BC" w:rsidRPr="00756375" w:rsidRDefault="003861BC" w:rsidP="003861BC">
      <w:pPr>
        <w:rPr>
          <w:sz w:val="24"/>
          <w:szCs w:val="24"/>
        </w:rPr>
      </w:pPr>
      <w:r w:rsidRPr="00756375">
        <w:rPr>
          <w:sz w:val="24"/>
          <w:szCs w:val="24"/>
        </w:rPr>
        <w:br w:type="page"/>
      </w:r>
    </w:p>
    <w:p w14:paraId="377FE9B9" w14:textId="77777777" w:rsidR="003861BC" w:rsidRPr="00756375" w:rsidRDefault="003861BC" w:rsidP="003861BC">
      <w:pPr>
        <w:ind w:right="0"/>
        <w:jc w:val="center"/>
        <w:rPr>
          <w:b/>
          <w:sz w:val="24"/>
          <w:szCs w:val="24"/>
        </w:rPr>
      </w:pPr>
      <w:r w:rsidRPr="00756375">
        <w:rPr>
          <w:b/>
          <w:sz w:val="24"/>
          <w:szCs w:val="24"/>
        </w:rPr>
        <w:lastRenderedPageBreak/>
        <w:t>Certification</w:t>
      </w:r>
    </w:p>
    <w:p w14:paraId="41361DD2" w14:textId="77777777" w:rsidR="003861BC" w:rsidRPr="00756375" w:rsidRDefault="003861BC" w:rsidP="003861BC">
      <w:pPr>
        <w:rPr>
          <w:sz w:val="24"/>
          <w:szCs w:val="24"/>
        </w:rPr>
      </w:pPr>
    </w:p>
    <w:p w14:paraId="5422E34B" w14:textId="77777777" w:rsidR="003861BC" w:rsidRPr="00756375" w:rsidRDefault="003861BC" w:rsidP="003861BC">
      <w:pPr>
        <w:rPr>
          <w:sz w:val="24"/>
          <w:szCs w:val="24"/>
        </w:rPr>
      </w:pPr>
      <w:r w:rsidRPr="00756375">
        <w:rPr>
          <w:sz w:val="24"/>
          <w:szCs w:val="24"/>
        </w:rPr>
        <w:t xml:space="preserve">To: </w:t>
      </w:r>
      <w:r w:rsidRPr="00756375">
        <w:rPr>
          <w:sz w:val="24"/>
          <w:szCs w:val="24"/>
        </w:rPr>
        <w:tab/>
        <w:t>Accrediting Commission for Community and Junior Colleges</w:t>
      </w:r>
    </w:p>
    <w:p w14:paraId="5976A490" w14:textId="77777777" w:rsidR="003861BC" w:rsidRPr="00756375" w:rsidRDefault="003861BC" w:rsidP="003861BC">
      <w:pPr>
        <w:rPr>
          <w:sz w:val="24"/>
          <w:szCs w:val="24"/>
        </w:rPr>
      </w:pPr>
    </w:p>
    <w:p w14:paraId="37940CDE" w14:textId="4FA969C6" w:rsidR="003861BC" w:rsidRPr="00756375" w:rsidRDefault="003861BC" w:rsidP="003861BC">
      <w:pPr>
        <w:rPr>
          <w:sz w:val="24"/>
          <w:szCs w:val="24"/>
        </w:rPr>
      </w:pPr>
      <w:r w:rsidRPr="00756375">
        <w:rPr>
          <w:sz w:val="24"/>
          <w:szCs w:val="24"/>
        </w:rPr>
        <w:t xml:space="preserve">From: </w:t>
      </w:r>
      <w:r w:rsidRPr="00756375">
        <w:rPr>
          <w:sz w:val="24"/>
          <w:szCs w:val="24"/>
        </w:rPr>
        <w:tab/>
      </w:r>
      <w:r w:rsidR="00376432" w:rsidRPr="00756375">
        <w:rPr>
          <w:sz w:val="24"/>
          <w:szCs w:val="24"/>
        </w:rPr>
        <w:t>Dr. Leslie</w:t>
      </w:r>
      <w:r w:rsidR="00F132C5" w:rsidRPr="00756375">
        <w:rPr>
          <w:sz w:val="24"/>
          <w:szCs w:val="24"/>
        </w:rPr>
        <w:t xml:space="preserve"> Minor</w:t>
      </w:r>
      <w:r w:rsidR="004A2723" w:rsidRPr="00756375">
        <w:rPr>
          <w:sz w:val="24"/>
          <w:szCs w:val="24"/>
        </w:rPr>
        <w:t>, Interim Superintendent/President</w:t>
      </w:r>
    </w:p>
    <w:p w14:paraId="45BE7159" w14:textId="017A3027" w:rsidR="003861BC" w:rsidRPr="00756375" w:rsidRDefault="003861BC" w:rsidP="003861BC">
      <w:pPr>
        <w:rPr>
          <w:sz w:val="24"/>
          <w:szCs w:val="24"/>
        </w:rPr>
      </w:pPr>
      <w:r w:rsidRPr="00756375">
        <w:rPr>
          <w:sz w:val="24"/>
          <w:szCs w:val="24"/>
        </w:rPr>
        <w:tab/>
      </w:r>
      <w:r w:rsidR="00376432" w:rsidRPr="00756375">
        <w:rPr>
          <w:sz w:val="24"/>
          <w:szCs w:val="24"/>
        </w:rPr>
        <w:t>Taft College</w:t>
      </w:r>
    </w:p>
    <w:p w14:paraId="360F2EDC" w14:textId="0F8C489D" w:rsidR="003861BC" w:rsidRPr="00756375" w:rsidRDefault="003861BC" w:rsidP="003861BC">
      <w:pPr>
        <w:rPr>
          <w:sz w:val="24"/>
          <w:szCs w:val="24"/>
        </w:rPr>
      </w:pPr>
      <w:r w:rsidRPr="00756375">
        <w:rPr>
          <w:sz w:val="24"/>
          <w:szCs w:val="24"/>
        </w:rPr>
        <w:tab/>
      </w:r>
      <w:r w:rsidR="00376432" w:rsidRPr="00756375">
        <w:rPr>
          <w:sz w:val="24"/>
          <w:szCs w:val="24"/>
        </w:rPr>
        <w:t>29 Cougar Ct. Taft</w:t>
      </w:r>
      <w:r w:rsidR="004A2723" w:rsidRPr="00756375">
        <w:rPr>
          <w:sz w:val="24"/>
          <w:szCs w:val="24"/>
        </w:rPr>
        <w:t>,</w:t>
      </w:r>
      <w:r w:rsidR="00376432" w:rsidRPr="00756375">
        <w:rPr>
          <w:sz w:val="24"/>
          <w:szCs w:val="24"/>
        </w:rPr>
        <w:t xml:space="preserve"> CA 93268</w:t>
      </w:r>
    </w:p>
    <w:p w14:paraId="7F858B5B" w14:textId="77777777" w:rsidR="003861BC" w:rsidRPr="00756375" w:rsidRDefault="003861BC" w:rsidP="003861BC">
      <w:pPr>
        <w:rPr>
          <w:sz w:val="24"/>
          <w:szCs w:val="24"/>
        </w:rPr>
      </w:pPr>
    </w:p>
    <w:p w14:paraId="41400F4E" w14:textId="77777777" w:rsidR="003861BC" w:rsidRPr="00756375" w:rsidRDefault="003861BC" w:rsidP="003861BC">
      <w:pPr>
        <w:rPr>
          <w:sz w:val="24"/>
          <w:szCs w:val="24"/>
        </w:rPr>
      </w:pPr>
    </w:p>
    <w:p w14:paraId="5197F6E1" w14:textId="21A2AC91" w:rsidR="003861BC" w:rsidRPr="00756375" w:rsidRDefault="003861BC" w:rsidP="003861BC">
      <w:pPr>
        <w:rPr>
          <w:sz w:val="24"/>
          <w:szCs w:val="24"/>
        </w:rPr>
      </w:pPr>
      <w:r w:rsidRPr="00756375">
        <w:rPr>
          <w:sz w:val="24"/>
          <w:szCs w:val="24"/>
        </w:rPr>
        <w:t xml:space="preserve">This Midterm Report is submitted to the ACCJC for the purposes of 1) highlighting recent improvements or innovations and 2) providing an update on institutional performance </w:t>
      </w:r>
      <w:r w:rsidR="00E94DE0" w:rsidRPr="00756375">
        <w:rPr>
          <w:sz w:val="24"/>
          <w:szCs w:val="24"/>
        </w:rPr>
        <w:t>regarding</w:t>
      </w:r>
      <w:r w:rsidRPr="00756375">
        <w:rPr>
          <w:sz w:val="24"/>
          <w:szCs w:val="24"/>
        </w:rPr>
        <w:t xml:space="preserve"> student outcomes since the last comprehensive peer review. The Midterm Report reflects the nature and substance of this institution, as well as its best efforts to align with ACCJC Standards and policies, and was developed with appropriate participation and review by the campus community.</w:t>
      </w:r>
    </w:p>
    <w:p w14:paraId="4DE703E2" w14:textId="77777777" w:rsidR="003861BC" w:rsidRPr="00756375" w:rsidRDefault="003861BC" w:rsidP="003861BC">
      <w:pPr>
        <w:rPr>
          <w:sz w:val="24"/>
          <w:szCs w:val="24"/>
        </w:rPr>
      </w:pPr>
    </w:p>
    <w:p w14:paraId="328CCF64" w14:textId="77777777" w:rsidR="003861BC" w:rsidRPr="00756375" w:rsidRDefault="003861BC" w:rsidP="003861BC">
      <w:pPr>
        <w:rPr>
          <w:sz w:val="24"/>
          <w:szCs w:val="24"/>
        </w:rPr>
      </w:pPr>
    </w:p>
    <w:p w14:paraId="5EFD0472" w14:textId="77777777" w:rsidR="003861BC" w:rsidRPr="00756375" w:rsidRDefault="003861BC" w:rsidP="003861BC">
      <w:pPr>
        <w:rPr>
          <w:sz w:val="24"/>
          <w:szCs w:val="24"/>
        </w:rPr>
      </w:pPr>
      <w:r w:rsidRPr="00756375">
        <w:rPr>
          <w:sz w:val="24"/>
          <w:szCs w:val="24"/>
        </w:rPr>
        <w:t>Signatures:</w:t>
      </w:r>
    </w:p>
    <w:p w14:paraId="2BA07071" w14:textId="77777777" w:rsidR="003861BC" w:rsidRPr="00756375" w:rsidRDefault="003861BC" w:rsidP="003861BC">
      <w:pPr>
        <w:rPr>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5269EA" w:rsidRPr="00756375" w14:paraId="473793B7" w14:textId="77777777">
        <w:tc>
          <w:tcPr>
            <w:tcW w:w="7308" w:type="dxa"/>
            <w:tcBorders>
              <w:bottom w:val="single" w:sz="4" w:space="0" w:color="auto"/>
            </w:tcBorders>
          </w:tcPr>
          <w:p w14:paraId="500BE92A" w14:textId="77777777" w:rsidR="005269EA" w:rsidRPr="00756375" w:rsidRDefault="005269EA" w:rsidP="005269EA">
            <w:pPr>
              <w:rPr>
                <w:sz w:val="24"/>
                <w:szCs w:val="24"/>
                <w:highlight w:val="lightGray"/>
              </w:rPr>
            </w:pPr>
          </w:p>
          <w:p w14:paraId="73FCC380" w14:textId="77777777" w:rsidR="005269EA" w:rsidRPr="00756375" w:rsidRDefault="005269EA" w:rsidP="005269EA">
            <w:pPr>
              <w:rPr>
                <w:sz w:val="24"/>
                <w:szCs w:val="24"/>
                <w:highlight w:val="lightGray"/>
              </w:rPr>
            </w:pPr>
          </w:p>
          <w:p w14:paraId="22F144AB" w14:textId="4D0FB7B5" w:rsidR="005269EA" w:rsidRPr="00756375" w:rsidRDefault="005269EA" w:rsidP="005269EA">
            <w:pPr>
              <w:rPr>
                <w:sz w:val="24"/>
                <w:szCs w:val="24"/>
                <w:highlight w:val="lightGray"/>
              </w:rPr>
            </w:pPr>
          </w:p>
        </w:tc>
        <w:tc>
          <w:tcPr>
            <w:tcW w:w="2268" w:type="dxa"/>
            <w:tcBorders>
              <w:bottom w:val="single" w:sz="4" w:space="0" w:color="auto"/>
            </w:tcBorders>
          </w:tcPr>
          <w:p w14:paraId="3465E3FD" w14:textId="77777777" w:rsidR="005269EA" w:rsidRPr="00756375" w:rsidRDefault="005269EA" w:rsidP="005269EA">
            <w:pPr>
              <w:rPr>
                <w:sz w:val="24"/>
                <w:szCs w:val="24"/>
                <w:highlight w:val="lightGray"/>
              </w:rPr>
            </w:pPr>
          </w:p>
          <w:p w14:paraId="43E8276B" w14:textId="77777777" w:rsidR="005269EA" w:rsidRPr="00756375" w:rsidRDefault="005269EA" w:rsidP="005269EA">
            <w:pPr>
              <w:rPr>
                <w:sz w:val="24"/>
                <w:szCs w:val="24"/>
                <w:highlight w:val="lightGray"/>
              </w:rPr>
            </w:pPr>
          </w:p>
          <w:p w14:paraId="75688EB4" w14:textId="65E82803" w:rsidR="005269EA" w:rsidRPr="00756375" w:rsidRDefault="005269EA" w:rsidP="005269EA">
            <w:pPr>
              <w:rPr>
                <w:sz w:val="24"/>
                <w:szCs w:val="24"/>
                <w:highlight w:val="lightGray"/>
              </w:rPr>
            </w:pPr>
          </w:p>
        </w:tc>
      </w:tr>
      <w:tr w:rsidR="005269EA" w:rsidRPr="00756375" w14:paraId="115683F5" w14:textId="77777777">
        <w:tc>
          <w:tcPr>
            <w:tcW w:w="7308" w:type="dxa"/>
            <w:tcBorders>
              <w:top w:val="single" w:sz="4" w:space="0" w:color="auto"/>
              <w:bottom w:val="single" w:sz="4" w:space="0" w:color="auto"/>
            </w:tcBorders>
          </w:tcPr>
          <w:p w14:paraId="30F38D0A" w14:textId="04DC082A" w:rsidR="005269EA" w:rsidRPr="00756375" w:rsidRDefault="000A14D4" w:rsidP="005269EA">
            <w:pPr>
              <w:rPr>
                <w:sz w:val="24"/>
                <w:szCs w:val="24"/>
              </w:rPr>
            </w:pPr>
            <w:r w:rsidRPr="00756375">
              <w:rPr>
                <w:sz w:val="24"/>
                <w:szCs w:val="24"/>
              </w:rPr>
              <w:t>Leslie Minor, Ph.D.</w:t>
            </w:r>
          </w:p>
          <w:p w14:paraId="24155499" w14:textId="76FDE235" w:rsidR="000A14D4" w:rsidRPr="00756375" w:rsidRDefault="000A14D4" w:rsidP="005269EA">
            <w:pPr>
              <w:rPr>
                <w:sz w:val="24"/>
                <w:szCs w:val="24"/>
              </w:rPr>
            </w:pPr>
            <w:r w:rsidRPr="00756375">
              <w:rPr>
                <w:sz w:val="24"/>
                <w:szCs w:val="24"/>
              </w:rPr>
              <w:t>Interim Superintendent/President</w:t>
            </w:r>
          </w:p>
          <w:p w14:paraId="6A05FD30" w14:textId="77777777" w:rsidR="000A14D4" w:rsidRPr="00756375" w:rsidRDefault="000A14D4" w:rsidP="005269EA">
            <w:pPr>
              <w:rPr>
                <w:sz w:val="24"/>
                <w:szCs w:val="24"/>
              </w:rPr>
            </w:pPr>
          </w:p>
          <w:p w14:paraId="58B7860D" w14:textId="77777777" w:rsidR="000A14D4" w:rsidRPr="00756375" w:rsidRDefault="000A14D4" w:rsidP="005269EA">
            <w:pPr>
              <w:rPr>
                <w:sz w:val="24"/>
                <w:szCs w:val="24"/>
              </w:rPr>
            </w:pPr>
          </w:p>
          <w:p w14:paraId="0A767840" w14:textId="77777777" w:rsidR="005269EA" w:rsidRPr="00756375" w:rsidRDefault="005269EA" w:rsidP="005269EA">
            <w:pPr>
              <w:rPr>
                <w:sz w:val="24"/>
                <w:szCs w:val="24"/>
                <w:highlight w:val="lightGray"/>
              </w:rPr>
            </w:pPr>
          </w:p>
          <w:p w14:paraId="2EABD881" w14:textId="11C5A286" w:rsidR="005269EA" w:rsidRPr="00756375" w:rsidRDefault="005269EA" w:rsidP="005269EA">
            <w:pPr>
              <w:rPr>
                <w:sz w:val="24"/>
                <w:szCs w:val="24"/>
                <w:highlight w:val="lightGray"/>
              </w:rPr>
            </w:pPr>
          </w:p>
        </w:tc>
        <w:tc>
          <w:tcPr>
            <w:tcW w:w="2268" w:type="dxa"/>
            <w:tcBorders>
              <w:top w:val="single" w:sz="4" w:space="0" w:color="auto"/>
              <w:bottom w:val="single" w:sz="4" w:space="0" w:color="auto"/>
            </w:tcBorders>
          </w:tcPr>
          <w:p w14:paraId="1051F913" w14:textId="729F37BF" w:rsidR="005269EA" w:rsidRPr="00756375" w:rsidRDefault="000A14D4" w:rsidP="005269EA">
            <w:pPr>
              <w:rPr>
                <w:sz w:val="24"/>
                <w:szCs w:val="24"/>
                <w:highlight w:val="lightGray"/>
              </w:rPr>
            </w:pPr>
            <w:r w:rsidRPr="00756375">
              <w:rPr>
                <w:sz w:val="24"/>
                <w:szCs w:val="24"/>
              </w:rPr>
              <w:t>Date</w:t>
            </w:r>
          </w:p>
          <w:p w14:paraId="33CCFF48" w14:textId="77777777" w:rsidR="005269EA" w:rsidRPr="00756375" w:rsidRDefault="005269EA" w:rsidP="005269EA">
            <w:pPr>
              <w:rPr>
                <w:sz w:val="24"/>
                <w:szCs w:val="24"/>
                <w:highlight w:val="lightGray"/>
              </w:rPr>
            </w:pPr>
          </w:p>
          <w:p w14:paraId="01255C67" w14:textId="0C0CE635" w:rsidR="005269EA" w:rsidRPr="00756375" w:rsidRDefault="005269EA" w:rsidP="005269EA">
            <w:pPr>
              <w:rPr>
                <w:sz w:val="24"/>
                <w:szCs w:val="24"/>
                <w:highlight w:val="lightGray"/>
              </w:rPr>
            </w:pPr>
          </w:p>
        </w:tc>
      </w:tr>
      <w:tr w:rsidR="005269EA" w:rsidRPr="00756375" w14:paraId="2799E622" w14:textId="77777777">
        <w:tc>
          <w:tcPr>
            <w:tcW w:w="7308" w:type="dxa"/>
            <w:tcBorders>
              <w:top w:val="single" w:sz="4" w:space="0" w:color="auto"/>
              <w:bottom w:val="single" w:sz="4" w:space="0" w:color="auto"/>
            </w:tcBorders>
          </w:tcPr>
          <w:p w14:paraId="54DC44D1" w14:textId="3B690D98" w:rsidR="005269EA" w:rsidRPr="00756375" w:rsidRDefault="000A14D4" w:rsidP="005269EA">
            <w:pPr>
              <w:rPr>
                <w:sz w:val="24"/>
                <w:szCs w:val="24"/>
              </w:rPr>
            </w:pPr>
            <w:r w:rsidRPr="00756375">
              <w:rPr>
                <w:sz w:val="24"/>
                <w:szCs w:val="24"/>
              </w:rPr>
              <w:t>Kathy Orrin, Ph.D.</w:t>
            </w:r>
          </w:p>
          <w:p w14:paraId="2903373A" w14:textId="0AF25F49" w:rsidR="000A14D4" w:rsidRPr="00756375" w:rsidRDefault="000A14D4" w:rsidP="005269EA">
            <w:pPr>
              <w:rPr>
                <w:sz w:val="24"/>
                <w:szCs w:val="24"/>
              </w:rPr>
            </w:pPr>
            <w:r w:rsidRPr="00756375">
              <w:rPr>
                <w:sz w:val="24"/>
                <w:szCs w:val="24"/>
              </w:rPr>
              <w:t>President, Board of Trustees</w:t>
            </w:r>
          </w:p>
          <w:p w14:paraId="5B3B79E8" w14:textId="77777777" w:rsidR="000A14D4" w:rsidRPr="00756375" w:rsidRDefault="000A14D4" w:rsidP="005269EA">
            <w:pPr>
              <w:rPr>
                <w:sz w:val="24"/>
                <w:szCs w:val="24"/>
              </w:rPr>
            </w:pPr>
          </w:p>
          <w:p w14:paraId="449997E9" w14:textId="77777777" w:rsidR="000A14D4" w:rsidRPr="00756375" w:rsidRDefault="000A14D4" w:rsidP="005269EA">
            <w:pPr>
              <w:rPr>
                <w:sz w:val="24"/>
                <w:szCs w:val="24"/>
              </w:rPr>
            </w:pPr>
          </w:p>
          <w:p w14:paraId="2148E78F" w14:textId="77777777" w:rsidR="005269EA" w:rsidRPr="00756375" w:rsidRDefault="005269EA" w:rsidP="005269EA">
            <w:pPr>
              <w:rPr>
                <w:sz w:val="24"/>
                <w:szCs w:val="24"/>
                <w:highlight w:val="lightGray"/>
              </w:rPr>
            </w:pPr>
          </w:p>
          <w:p w14:paraId="6F736CA7" w14:textId="65F89B2F" w:rsidR="005269EA" w:rsidRPr="00756375" w:rsidRDefault="005269EA" w:rsidP="005269EA">
            <w:pPr>
              <w:rPr>
                <w:sz w:val="24"/>
                <w:szCs w:val="24"/>
                <w:highlight w:val="lightGray"/>
              </w:rPr>
            </w:pPr>
          </w:p>
        </w:tc>
        <w:tc>
          <w:tcPr>
            <w:tcW w:w="2268" w:type="dxa"/>
            <w:tcBorders>
              <w:top w:val="single" w:sz="4" w:space="0" w:color="auto"/>
              <w:bottom w:val="single" w:sz="4" w:space="0" w:color="auto"/>
            </w:tcBorders>
          </w:tcPr>
          <w:p w14:paraId="60F74F84" w14:textId="59B0E71D" w:rsidR="005269EA" w:rsidRPr="00756375" w:rsidRDefault="000A14D4" w:rsidP="005269EA">
            <w:pPr>
              <w:rPr>
                <w:sz w:val="24"/>
                <w:szCs w:val="24"/>
                <w:highlight w:val="lightGray"/>
              </w:rPr>
            </w:pPr>
            <w:r w:rsidRPr="00756375">
              <w:rPr>
                <w:sz w:val="24"/>
                <w:szCs w:val="24"/>
              </w:rPr>
              <w:t>Date</w:t>
            </w:r>
          </w:p>
          <w:p w14:paraId="0AB25818" w14:textId="77777777" w:rsidR="005269EA" w:rsidRPr="00756375" w:rsidRDefault="005269EA" w:rsidP="005269EA">
            <w:pPr>
              <w:rPr>
                <w:sz w:val="24"/>
                <w:szCs w:val="24"/>
                <w:highlight w:val="lightGray"/>
              </w:rPr>
            </w:pPr>
          </w:p>
          <w:p w14:paraId="739EA12B" w14:textId="08E31E45" w:rsidR="005269EA" w:rsidRPr="00756375" w:rsidRDefault="005269EA" w:rsidP="005269EA">
            <w:pPr>
              <w:rPr>
                <w:sz w:val="24"/>
                <w:szCs w:val="24"/>
                <w:highlight w:val="lightGray"/>
              </w:rPr>
            </w:pPr>
          </w:p>
        </w:tc>
      </w:tr>
      <w:tr w:rsidR="005269EA" w:rsidRPr="00756375" w14:paraId="46C126A9" w14:textId="77777777" w:rsidTr="000A14D4">
        <w:tc>
          <w:tcPr>
            <w:tcW w:w="7308" w:type="dxa"/>
            <w:tcBorders>
              <w:top w:val="single" w:sz="4" w:space="0" w:color="auto"/>
              <w:bottom w:val="single" w:sz="4" w:space="0" w:color="auto"/>
            </w:tcBorders>
          </w:tcPr>
          <w:p w14:paraId="56564490" w14:textId="4946F366" w:rsidR="005269EA" w:rsidRPr="00756375" w:rsidRDefault="000A14D4" w:rsidP="005269EA">
            <w:pPr>
              <w:rPr>
                <w:sz w:val="24"/>
                <w:szCs w:val="24"/>
              </w:rPr>
            </w:pPr>
            <w:r w:rsidRPr="00756375">
              <w:rPr>
                <w:sz w:val="24"/>
                <w:szCs w:val="24"/>
              </w:rPr>
              <w:t>Candace Duron</w:t>
            </w:r>
          </w:p>
          <w:p w14:paraId="53A26FAC" w14:textId="68B04F14" w:rsidR="000A14D4" w:rsidRPr="00756375" w:rsidRDefault="000A14D4" w:rsidP="005269EA">
            <w:pPr>
              <w:rPr>
                <w:sz w:val="24"/>
                <w:szCs w:val="24"/>
              </w:rPr>
            </w:pPr>
            <w:r w:rsidRPr="00756375">
              <w:rPr>
                <w:sz w:val="24"/>
                <w:szCs w:val="24"/>
              </w:rPr>
              <w:t>President, Academic Senate</w:t>
            </w:r>
          </w:p>
          <w:p w14:paraId="62510177" w14:textId="77777777" w:rsidR="000A14D4" w:rsidRPr="00756375" w:rsidRDefault="000A14D4" w:rsidP="005269EA">
            <w:pPr>
              <w:rPr>
                <w:sz w:val="24"/>
                <w:szCs w:val="24"/>
              </w:rPr>
            </w:pPr>
          </w:p>
          <w:p w14:paraId="7EA3D2B2" w14:textId="77777777" w:rsidR="000A14D4" w:rsidRPr="00756375" w:rsidRDefault="000A14D4" w:rsidP="005269EA">
            <w:pPr>
              <w:rPr>
                <w:sz w:val="24"/>
                <w:szCs w:val="24"/>
              </w:rPr>
            </w:pPr>
          </w:p>
          <w:p w14:paraId="46911989" w14:textId="77777777" w:rsidR="005269EA" w:rsidRPr="00756375" w:rsidRDefault="005269EA" w:rsidP="005269EA">
            <w:pPr>
              <w:rPr>
                <w:sz w:val="24"/>
                <w:szCs w:val="24"/>
              </w:rPr>
            </w:pPr>
          </w:p>
          <w:p w14:paraId="0A5ED018" w14:textId="1B099F61" w:rsidR="005269EA" w:rsidRPr="00756375" w:rsidRDefault="005269EA" w:rsidP="005269EA">
            <w:pPr>
              <w:rPr>
                <w:sz w:val="24"/>
                <w:szCs w:val="24"/>
              </w:rPr>
            </w:pPr>
          </w:p>
        </w:tc>
        <w:tc>
          <w:tcPr>
            <w:tcW w:w="2268" w:type="dxa"/>
            <w:tcBorders>
              <w:top w:val="single" w:sz="4" w:space="0" w:color="auto"/>
              <w:bottom w:val="single" w:sz="4" w:space="0" w:color="auto"/>
            </w:tcBorders>
          </w:tcPr>
          <w:p w14:paraId="188E570C" w14:textId="41830057" w:rsidR="005269EA" w:rsidRPr="00756375" w:rsidRDefault="000A14D4" w:rsidP="005269EA">
            <w:pPr>
              <w:rPr>
                <w:sz w:val="24"/>
                <w:szCs w:val="24"/>
                <w:highlight w:val="lightGray"/>
              </w:rPr>
            </w:pPr>
            <w:r w:rsidRPr="00756375">
              <w:rPr>
                <w:sz w:val="24"/>
                <w:szCs w:val="24"/>
              </w:rPr>
              <w:t>Date</w:t>
            </w:r>
          </w:p>
          <w:p w14:paraId="27AE221B" w14:textId="77777777" w:rsidR="005269EA" w:rsidRPr="00756375" w:rsidRDefault="005269EA" w:rsidP="005269EA">
            <w:pPr>
              <w:rPr>
                <w:sz w:val="24"/>
                <w:szCs w:val="24"/>
                <w:highlight w:val="lightGray"/>
              </w:rPr>
            </w:pPr>
          </w:p>
          <w:p w14:paraId="5684FBEA" w14:textId="0BF8E4BA" w:rsidR="005269EA" w:rsidRPr="00756375" w:rsidRDefault="005269EA" w:rsidP="005269EA">
            <w:pPr>
              <w:rPr>
                <w:sz w:val="24"/>
                <w:szCs w:val="24"/>
                <w:highlight w:val="lightGray"/>
              </w:rPr>
            </w:pPr>
          </w:p>
        </w:tc>
      </w:tr>
      <w:tr w:rsidR="005269EA" w:rsidRPr="00756375" w14:paraId="0FB9DC10" w14:textId="77777777" w:rsidTr="000A14D4">
        <w:tc>
          <w:tcPr>
            <w:tcW w:w="7308" w:type="dxa"/>
            <w:tcBorders>
              <w:top w:val="single" w:sz="4" w:space="0" w:color="auto"/>
              <w:bottom w:val="nil"/>
            </w:tcBorders>
          </w:tcPr>
          <w:p w14:paraId="07D75574" w14:textId="684075D6" w:rsidR="005269EA" w:rsidRPr="00756375" w:rsidRDefault="000A14D4" w:rsidP="005269EA">
            <w:pPr>
              <w:rPr>
                <w:sz w:val="24"/>
                <w:szCs w:val="24"/>
              </w:rPr>
            </w:pPr>
            <w:r w:rsidRPr="00756375">
              <w:rPr>
                <w:sz w:val="24"/>
                <w:szCs w:val="24"/>
              </w:rPr>
              <w:t>Xiaohong Li, Ed.D.</w:t>
            </w:r>
          </w:p>
          <w:p w14:paraId="41F8D783" w14:textId="5B19AE91" w:rsidR="005269EA" w:rsidRPr="00756375" w:rsidRDefault="000A14D4" w:rsidP="005269EA">
            <w:pPr>
              <w:rPr>
                <w:sz w:val="24"/>
                <w:szCs w:val="24"/>
              </w:rPr>
            </w:pPr>
            <w:r w:rsidRPr="00756375">
              <w:rPr>
                <w:sz w:val="24"/>
                <w:szCs w:val="24"/>
              </w:rPr>
              <w:t xml:space="preserve">Vice President of Information </w:t>
            </w:r>
            <w:r w:rsidR="00A93ECA" w:rsidRPr="00756375">
              <w:rPr>
                <w:sz w:val="24"/>
                <w:szCs w:val="24"/>
              </w:rPr>
              <w:t>and</w:t>
            </w:r>
            <w:r w:rsidRPr="00756375">
              <w:rPr>
                <w:sz w:val="24"/>
                <w:szCs w:val="24"/>
              </w:rPr>
              <w:t xml:space="preserve"> Institutional Effectiveness, ALO</w:t>
            </w:r>
          </w:p>
        </w:tc>
        <w:tc>
          <w:tcPr>
            <w:tcW w:w="2268" w:type="dxa"/>
            <w:tcBorders>
              <w:top w:val="single" w:sz="4" w:space="0" w:color="auto"/>
              <w:bottom w:val="nil"/>
            </w:tcBorders>
          </w:tcPr>
          <w:p w14:paraId="0A4838DB" w14:textId="3ED4FCF4" w:rsidR="005269EA" w:rsidRPr="00756375" w:rsidRDefault="000A14D4" w:rsidP="005269EA">
            <w:pPr>
              <w:rPr>
                <w:sz w:val="24"/>
                <w:szCs w:val="24"/>
              </w:rPr>
            </w:pPr>
            <w:r w:rsidRPr="00756375">
              <w:rPr>
                <w:sz w:val="24"/>
                <w:szCs w:val="24"/>
              </w:rPr>
              <w:t>Date</w:t>
            </w:r>
          </w:p>
        </w:tc>
      </w:tr>
    </w:tbl>
    <w:p w14:paraId="664E3613" w14:textId="77777777" w:rsidR="003861BC" w:rsidRPr="00756375" w:rsidRDefault="003861BC" w:rsidP="003861BC">
      <w:pPr>
        <w:rPr>
          <w:sz w:val="24"/>
          <w:szCs w:val="24"/>
        </w:rPr>
      </w:pPr>
    </w:p>
    <w:p w14:paraId="617D68CB" w14:textId="77777777" w:rsidR="003861BC" w:rsidRPr="00756375" w:rsidRDefault="003861BC" w:rsidP="003861BC">
      <w:pPr>
        <w:rPr>
          <w:sz w:val="24"/>
          <w:szCs w:val="24"/>
        </w:rPr>
      </w:pPr>
    </w:p>
    <w:p w14:paraId="232A112F" w14:textId="77777777" w:rsidR="003861BC" w:rsidRPr="00756375" w:rsidRDefault="003861BC" w:rsidP="003861BC">
      <w:pPr>
        <w:widowControl/>
        <w:spacing w:after="200" w:line="276" w:lineRule="auto"/>
        <w:ind w:right="0"/>
        <w:rPr>
          <w:sz w:val="24"/>
          <w:szCs w:val="24"/>
          <w:highlight w:val="yellow"/>
        </w:rPr>
      </w:pPr>
      <w:r w:rsidRPr="00756375">
        <w:rPr>
          <w:sz w:val="24"/>
          <w:szCs w:val="24"/>
          <w:highlight w:val="yellow"/>
        </w:rPr>
        <w:br w:type="page"/>
      </w:r>
    </w:p>
    <w:p w14:paraId="5C1F6436" w14:textId="77777777" w:rsidR="00610DE9" w:rsidRPr="00756375" w:rsidRDefault="00610DE9" w:rsidP="00610DE9">
      <w:pPr>
        <w:ind w:right="245"/>
        <w:rPr>
          <w:sz w:val="24"/>
          <w:szCs w:val="24"/>
        </w:rPr>
      </w:pPr>
    </w:p>
    <w:sdt>
      <w:sdtPr>
        <w:rPr>
          <w:b w:val="0"/>
          <w:sz w:val="24"/>
          <w:szCs w:val="24"/>
          <w:lang w:eastAsia="en-US"/>
        </w:rPr>
        <w:id w:val="289329884"/>
        <w:docPartObj>
          <w:docPartGallery w:val="Table of Contents"/>
          <w:docPartUnique/>
        </w:docPartObj>
      </w:sdtPr>
      <w:sdtEndPr>
        <w:rPr>
          <w:bCs/>
          <w:noProof/>
        </w:rPr>
      </w:sdtEndPr>
      <w:sdtContent>
        <w:p w14:paraId="785E1CBE" w14:textId="4057F003" w:rsidR="00610DE9" w:rsidRPr="00756375" w:rsidRDefault="00610DE9">
          <w:pPr>
            <w:pStyle w:val="TOCHeading"/>
            <w:rPr>
              <w:sz w:val="24"/>
              <w:szCs w:val="24"/>
            </w:rPr>
          </w:pPr>
          <w:r w:rsidRPr="00756375">
            <w:rPr>
              <w:sz w:val="24"/>
              <w:szCs w:val="24"/>
            </w:rPr>
            <w:t>Contents</w:t>
          </w:r>
        </w:p>
        <w:p w14:paraId="26ADA90F" w14:textId="442D0CD1" w:rsidR="001872C4" w:rsidRPr="00756375" w:rsidRDefault="00610DE9">
          <w:pPr>
            <w:pStyle w:val="TOC1"/>
            <w:rPr>
              <w:rFonts w:asciiTheme="minorHAnsi" w:eastAsiaTheme="minorEastAsia" w:hAnsiTheme="minorHAnsi" w:cstheme="minorBidi"/>
              <w:noProof/>
              <w:spacing w:val="0"/>
              <w:kern w:val="2"/>
              <w:sz w:val="24"/>
              <w:szCs w:val="24"/>
              <w14:ligatures w14:val="standardContextual"/>
            </w:rPr>
          </w:pPr>
          <w:r w:rsidRPr="00756375">
            <w:rPr>
              <w:sz w:val="24"/>
              <w:szCs w:val="24"/>
            </w:rPr>
            <w:fldChar w:fldCharType="begin"/>
          </w:r>
          <w:r w:rsidRPr="00756375">
            <w:rPr>
              <w:sz w:val="24"/>
              <w:szCs w:val="24"/>
            </w:rPr>
            <w:instrText xml:space="preserve"> TOC \o "1-3" \h \z \u </w:instrText>
          </w:r>
          <w:r w:rsidRPr="00756375">
            <w:rPr>
              <w:sz w:val="24"/>
              <w:szCs w:val="24"/>
            </w:rPr>
            <w:fldChar w:fldCharType="separate"/>
          </w:r>
          <w:hyperlink w:anchor="_Toc156943180" w:history="1">
            <w:r w:rsidR="001872C4" w:rsidRPr="00756375">
              <w:rPr>
                <w:rStyle w:val="Hyperlink"/>
                <w:noProof/>
                <w:sz w:val="24"/>
                <w:szCs w:val="24"/>
              </w:rPr>
              <w:t>A.</w:t>
            </w:r>
            <w:r w:rsidR="001872C4" w:rsidRPr="00756375">
              <w:rPr>
                <w:rFonts w:asciiTheme="minorHAnsi" w:eastAsiaTheme="minorEastAsia" w:hAnsiTheme="minorHAnsi" w:cstheme="minorBidi"/>
                <w:noProof/>
                <w:spacing w:val="0"/>
                <w:kern w:val="2"/>
                <w:sz w:val="24"/>
                <w:szCs w:val="24"/>
                <w14:ligatures w14:val="standardContextual"/>
              </w:rPr>
              <w:tab/>
            </w:r>
            <w:r w:rsidR="001872C4" w:rsidRPr="00756375">
              <w:rPr>
                <w:rStyle w:val="Hyperlink"/>
                <w:noProof/>
                <w:sz w:val="24"/>
                <w:szCs w:val="24"/>
              </w:rPr>
              <w:t>Reflections on Continuous Improvement Since Last Comprehensive Review</w:t>
            </w:r>
            <w:r w:rsidR="001872C4" w:rsidRPr="00756375">
              <w:rPr>
                <w:noProof/>
                <w:webHidden/>
                <w:sz w:val="24"/>
                <w:szCs w:val="24"/>
              </w:rPr>
              <w:tab/>
            </w:r>
            <w:r w:rsidR="001872C4" w:rsidRPr="00756375">
              <w:rPr>
                <w:noProof/>
                <w:webHidden/>
                <w:sz w:val="24"/>
                <w:szCs w:val="24"/>
              </w:rPr>
              <w:fldChar w:fldCharType="begin"/>
            </w:r>
            <w:r w:rsidR="001872C4" w:rsidRPr="00756375">
              <w:rPr>
                <w:noProof/>
                <w:webHidden/>
                <w:sz w:val="24"/>
                <w:szCs w:val="24"/>
              </w:rPr>
              <w:instrText xml:space="preserve"> PAGEREF _Toc156943180 \h </w:instrText>
            </w:r>
            <w:r w:rsidR="001872C4" w:rsidRPr="00756375">
              <w:rPr>
                <w:noProof/>
                <w:webHidden/>
                <w:sz w:val="24"/>
                <w:szCs w:val="24"/>
              </w:rPr>
            </w:r>
            <w:r w:rsidR="001872C4" w:rsidRPr="00756375">
              <w:rPr>
                <w:noProof/>
                <w:webHidden/>
                <w:sz w:val="24"/>
                <w:szCs w:val="24"/>
              </w:rPr>
              <w:fldChar w:fldCharType="separate"/>
            </w:r>
            <w:r w:rsidR="00F8624E" w:rsidRPr="00756375">
              <w:rPr>
                <w:noProof/>
                <w:webHidden/>
                <w:sz w:val="24"/>
                <w:szCs w:val="24"/>
              </w:rPr>
              <w:t>1</w:t>
            </w:r>
            <w:r w:rsidR="001872C4" w:rsidRPr="00756375">
              <w:rPr>
                <w:noProof/>
                <w:webHidden/>
                <w:sz w:val="24"/>
                <w:szCs w:val="24"/>
              </w:rPr>
              <w:fldChar w:fldCharType="end"/>
            </w:r>
          </w:hyperlink>
        </w:p>
        <w:p w14:paraId="6F3B6137" w14:textId="43D292E5" w:rsidR="001872C4" w:rsidRPr="00756375" w:rsidRDefault="009F37F8">
          <w:pPr>
            <w:pStyle w:val="TOC1"/>
            <w:rPr>
              <w:rFonts w:asciiTheme="minorHAnsi" w:eastAsiaTheme="minorEastAsia" w:hAnsiTheme="minorHAnsi" w:cstheme="minorBidi"/>
              <w:noProof/>
              <w:spacing w:val="0"/>
              <w:kern w:val="2"/>
              <w:sz w:val="24"/>
              <w:szCs w:val="24"/>
              <w14:ligatures w14:val="standardContextual"/>
            </w:rPr>
          </w:pPr>
          <w:hyperlink w:anchor="_Toc156943181" w:history="1">
            <w:r w:rsidR="001872C4" w:rsidRPr="00756375">
              <w:rPr>
                <w:rStyle w:val="Hyperlink"/>
                <w:noProof/>
                <w:sz w:val="24"/>
                <w:szCs w:val="24"/>
              </w:rPr>
              <w:t>B.</w:t>
            </w:r>
            <w:r w:rsidR="001872C4" w:rsidRPr="00756375">
              <w:rPr>
                <w:rFonts w:asciiTheme="minorHAnsi" w:eastAsiaTheme="minorEastAsia" w:hAnsiTheme="minorHAnsi" w:cstheme="minorBidi"/>
                <w:noProof/>
                <w:spacing w:val="0"/>
                <w:kern w:val="2"/>
                <w:sz w:val="24"/>
                <w:szCs w:val="24"/>
                <w14:ligatures w14:val="standardContextual"/>
              </w:rPr>
              <w:tab/>
            </w:r>
            <w:r w:rsidR="001872C4" w:rsidRPr="00756375">
              <w:rPr>
                <w:rStyle w:val="Hyperlink"/>
                <w:noProof/>
                <w:sz w:val="24"/>
                <w:szCs w:val="24"/>
              </w:rPr>
              <w:t xml:space="preserve">Reflections on </w:t>
            </w:r>
            <w:r w:rsidR="001872C4" w:rsidRPr="00756375">
              <w:rPr>
                <w:rStyle w:val="Hyperlink"/>
                <w:rFonts w:cs="Calibri"/>
                <w:bCs/>
                <w:noProof/>
                <w:sz w:val="24"/>
                <w:szCs w:val="24"/>
                <w:shd w:val="clear" w:color="auto" w:fill="FFFFFF"/>
              </w:rPr>
              <w:t>Institution-Set Standards and Other Metrics of Student Achievement</w:t>
            </w:r>
            <w:r w:rsidR="001872C4" w:rsidRPr="00756375">
              <w:rPr>
                <w:noProof/>
                <w:webHidden/>
                <w:sz w:val="24"/>
                <w:szCs w:val="24"/>
              </w:rPr>
              <w:tab/>
            </w:r>
            <w:r w:rsidR="001872C4" w:rsidRPr="00756375">
              <w:rPr>
                <w:noProof/>
                <w:webHidden/>
                <w:sz w:val="24"/>
                <w:szCs w:val="24"/>
              </w:rPr>
              <w:fldChar w:fldCharType="begin"/>
            </w:r>
            <w:r w:rsidR="001872C4" w:rsidRPr="00756375">
              <w:rPr>
                <w:noProof/>
                <w:webHidden/>
                <w:sz w:val="24"/>
                <w:szCs w:val="24"/>
              </w:rPr>
              <w:instrText xml:space="preserve"> PAGEREF _Toc156943181 \h </w:instrText>
            </w:r>
            <w:r w:rsidR="001872C4" w:rsidRPr="00756375">
              <w:rPr>
                <w:noProof/>
                <w:webHidden/>
                <w:sz w:val="24"/>
                <w:szCs w:val="24"/>
              </w:rPr>
            </w:r>
            <w:r w:rsidR="001872C4" w:rsidRPr="00756375">
              <w:rPr>
                <w:noProof/>
                <w:webHidden/>
                <w:sz w:val="24"/>
                <w:szCs w:val="24"/>
              </w:rPr>
              <w:fldChar w:fldCharType="separate"/>
            </w:r>
            <w:r w:rsidR="00F8624E" w:rsidRPr="00756375">
              <w:rPr>
                <w:noProof/>
                <w:webHidden/>
                <w:sz w:val="24"/>
                <w:szCs w:val="24"/>
              </w:rPr>
              <w:t>4</w:t>
            </w:r>
            <w:r w:rsidR="001872C4" w:rsidRPr="00756375">
              <w:rPr>
                <w:noProof/>
                <w:webHidden/>
                <w:sz w:val="24"/>
                <w:szCs w:val="24"/>
              </w:rPr>
              <w:fldChar w:fldCharType="end"/>
            </w:r>
          </w:hyperlink>
        </w:p>
        <w:p w14:paraId="540D60BB" w14:textId="20523E57" w:rsidR="001872C4" w:rsidRPr="00756375" w:rsidRDefault="009F37F8">
          <w:pPr>
            <w:pStyle w:val="TOC1"/>
            <w:rPr>
              <w:rFonts w:asciiTheme="minorHAnsi" w:eastAsiaTheme="minorEastAsia" w:hAnsiTheme="minorHAnsi" w:cstheme="minorBidi"/>
              <w:noProof/>
              <w:spacing w:val="0"/>
              <w:kern w:val="2"/>
              <w:sz w:val="24"/>
              <w:szCs w:val="24"/>
              <w14:ligatures w14:val="standardContextual"/>
            </w:rPr>
          </w:pPr>
          <w:hyperlink w:anchor="_Toc156943182" w:history="1">
            <w:r w:rsidR="001872C4" w:rsidRPr="00756375">
              <w:rPr>
                <w:rStyle w:val="Hyperlink"/>
                <w:noProof/>
                <w:sz w:val="24"/>
                <w:szCs w:val="24"/>
              </w:rPr>
              <w:t>C.</w:t>
            </w:r>
            <w:r w:rsidR="001872C4" w:rsidRPr="00756375">
              <w:rPr>
                <w:rFonts w:asciiTheme="minorHAnsi" w:eastAsiaTheme="minorEastAsia" w:hAnsiTheme="minorHAnsi" w:cstheme="minorBidi"/>
                <w:noProof/>
                <w:spacing w:val="0"/>
                <w:kern w:val="2"/>
                <w:sz w:val="24"/>
                <w:szCs w:val="24"/>
                <w14:ligatures w14:val="standardContextual"/>
              </w:rPr>
              <w:tab/>
            </w:r>
            <w:r w:rsidR="001872C4" w:rsidRPr="00756375">
              <w:rPr>
                <w:rStyle w:val="Hyperlink"/>
                <w:noProof/>
                <w:sz w:val="24"/>
                <w:szCs w:val="24"/>
              </w:rPr>
              <w:t>Reflections on Assessments of Student Learning</w:t>
            </w:r>
            <w:r w:rsidR="001872C4" w:rsidRPr="00756375">
              <w:rPr>
                <w:noProof/>
                <w:webHidden/>
                <w:sz w:val="24"/>
                <w:szCs w:val="24"/>
              </w:rPr>
              <w:tab/>
            </w:r>
            <w:r w:rsidR="001872C4" w:rsidRPr="00756375">
              <w:rPr>
                <w:noProof/>
                <w:webHidden/>
                <w:sz w:val="24"/>
                <w:szCs w:val="24"/>
              </w:rPr>
              <w:fldChar w:fldCharType="begin"/>
            </w:r>
            <w:r w:rsidR="001872C4" w:rsidRPr="00756375">
              <w:rPr>
                <w:noProof/>
                <w:webHidden/>
                <w:sz w:val="24"/>
                <w:szCs w:val="24"/>
              </w:rPr>
              <w:instrText xml:space="preserve"> PAGEREF _Toc156943182 \h </w:instrText>
            </w:r>
            <w:r w:rsidR="001872C4" w:rsidRPr="00756375">
              <w:rPr>
                <w:noProof/>
                <w:webHidden/>
                <w:sz w:val="24"/>
                <w:szCs w:val="24"/>
              </w:rPr>
            </w:r>
            <w:r w:rsidR="001872C4" w:rsidRPr="00756375">
              <w:rPr>
                <w:noProof/>
                <w:webHidden/>
                <w:sz w:val="24"/>
                <w:szCs w:val="24"/>
              </w:rPr>
              <w:fldChar w:fldCharType="separate"/>
            </w:r>
            <w:r w:rsidR="00F8624E" w:rsidRPr="00756375">
              <w:rPr>
                <w:noProof/>
                <w:webHidden/>
                <w:sz w:val="24"/>
                <w:szCs w:val="24"/>
              </w:rPr>
              <w:t>7</w:t>
            </w:r>
            <w:r w:rsidR="001872C4" w:rsidRPr="00756375">
              <w:rPr>
                <w:noProof/>
                <w:webHidden/>
                <w:sz w:val="24"/>
                <w:szCs w:val="24"/>
              </w:rPr>
              <w:fldChar w:fldCharType="end"/>
            </w:r>
          </w:hyperlink>
        </w:p>
        <w:p w14:paraId="2044D98D" w14:textId="1FA81E80" w:rsidR="001872C4" w:rsidRPr="00756375" w:rsidRDefault="009F37F8">
          <w:pPr>
            <w:pStyle w:val="TOC1"/>
            <w:rPr>
              <w:rFonts w:asciiTheme="minorHAnsi" w:eastAsiaTheme="minorEastAsia" w:hAnsiTheme="minorHAnsi" w:cstheme="minorBidi"/>
              <w:noProof/>
              <w:spacing w:val="0"/>
              <w:kern w:val="2"/>
              <w:sz w:val="24"/>
              <w:szCs w:val="24"/>
              <w14:ligatures w14:val="standardContextual"/>
            </w:rPr>
          </w:pPr>
          <w:hyperlink w:anchor="_Toc156943183" w:history="1">
            <w:r w:rsidR="001872C4" w:rsidRPr="00756375">
              <w:rPr>
                <w:rStyle w:val="Hyperlink"/>
                <w:noProof/>
                <w:sz w:val="24"/>
                <w:szCs w:val="24"/>
              </w:rPr>
              <w:t>D.</w:t>
            </w:r>
            <w:r w:rsidR="001872C4" w:rsidRPr="00756375">
              <w:rPr>
                <w:rFonts w:asciiTheme="minorHAnsi" w:eastAsiaTheme="minorEastAsia" w:hAnsiTheme="minorHAnsi" w:cstheme="minorBidi"/>
                <w:noProof/>
                <w:spacing w:val="0"/>
                <w:kern w:val="2"/>
                <w:sz w:val="24"/>
                <w:szCs w:val="24"/>
                <w14:ligatures w14:val="standardContextual"/>
              </w:rPr>
              <w:tab/>
            </w:r>
            <w:r w:rsidR="001872C4" w:rsidRPr="00756375">
              <w:rPr>
                <w:rStyle w:val="Hyperlink"/>
                <w:noProof/>
                <w:sz w:val="24"/>
                <w:szCs w:val="24"/>
              </w:rPr>
              <w:t>Looking Ahead to the Next Self-Evaluation and Comprehensive Review</w:t>
            </w:r>
            <w:r w:rsidR="001872C4" w:rsidRPr="00756375">
              <w:rPr>
                <w:noProof/>
                <w:webHidden/>
                <w:sz w:val="24"/>
                <w:szCs w:val="24"/>
              </w:rPr>
              <w:tab/>
            </w:r>
            <w:r w:rsidR="001872C4" w:rsidRPr="00756375">
              <w:rPr>
                <w:noProof/>
                <w:webHidden/>
                <w:sz w:val="24"/>
                <w:szCs w:val="24"/>
              </w:rPr>
              <w:fldChar w:fldCharType="begin"/>
            </w:r>
            <w:r w:rsidR="001872C4" w:rsidRPr="00756375">
              <w:rPr>
                <w:noProof/>
                <w:webHidden/>
                <w:sz w:val="24"/>
                <w:szCs w:val="24"/>
              </w:rPr>
              <w:instrText xml:space="preserve"> PAGEREF _Toc156943183 \h </w:instrText>
            </w:r>
            <w:r w:rsidR="001872C4" w:rsidRPr="00756375">
              <w:rPr>
                <w:noProof/>
                <w:webHidden/>
                <w:sz w:val="24"/>
                <w:szCs w:val="24"/>
              </w:rPr>
            </w:r>
            <w:r w:rsidR="001872C4" w:rsidRPr="00756375">
              <w:rPr>
                <w:noProof/>
                <w:webHidden/>
                <w:sz w:val="24"/>
                <w:szCs w:val="24"/>
              </w:rPr>
              <w:fldChar w:fldCharType="separate"/>
            </w:r>
            <w:r w:rsidR="00F8624E" w:rsidRPr="00756375">
              <w:rPr>
                <w:noProof/>
                <w:webHidden/>
                <w:sz w:val="24"/>
                <w:szCs w:val="24"/>
              </w:rPr>
              <w:t>11</w:t>
            </w:r>
            <w:r w:rsidR="001872C4" w:rsidRPr="00756375">
              <w:rPr>
                <w:noProof/>
                <w:webHidden/>
                <w:sz w:val="24"/>
                <w:szCs w:val="24"/>
              </w:rPr>
              <w:fldChar w:fldCharType="end"/>
            </w:r>
          </w:hyperlink>
        </w:p>
        <w:p w14:paraId="4D81AFB7" w14:textId="0C5AB41E" w:rsidR="00610DE9" w:rsidRPr="00756375" w:rsidRDefault="00610DE9">
          <w:pPr>
            <w:rPr>
              <w:sz w:val="24"/>
              <w:szCs w:val="24"/>
            </w:rPr>
          </w:pPr>
          <w:r w:rsidRPr="00756375">
            <w:rPr>
              <w:b/>
              <w:bCs/>
              <w:noProof/>
              <w:sz w:val="24"/>
              <w:szCs w:val="24"/>
            </w:rPr>
            <w:fldChar w:fldCharType="end"/>
          </w:r>
        </w:p>
      </w:sdtContent>
    </w:sdt>
    <w:p w14:paraId="3C95971F" w14:textId="77777777" w:rsidR="00610DE9" w:rsidRPr="00756375" w:rsidRDefault="00610DE9" w:rsidP="00610DE9">
      <w:pPr>
        <w:ind w:right="245"/>
        <w:rPr>
          <w:sz w:val="24"/>
          <w:szCs w:val="24"/>
        </w:rPr>
      </w:pPr>
    </w:p>
    <w:p w14:paraId="3F12A19A" w14:textId="77777777" w:rsidR="00610DE9" w:rsidRPr="00756375" w:rsidRDefault="00610DE9" w:rsidP="00610DE9">
      <w:pPr>
        <w:ind w:right="245"/>
        <w:rPr>
          <w:sz w:val="24"/>
          <w:szCs w:val="24"/>
        </w:rPr>
      </w:pPr>
    </w:p>
    <w:p w14:paraId="7A8305C6" w14:textId="77777777" w:rsidR="00F05163" w:rsidRPr="00756375" w:rsidRDefault="00610DE9">
      <w:pPr>
        <w:widowControl/>
        <w:spacing w:after="200" w:line="276" w:lineRule="auto"/>
        <w:ind w:right="0"/>
        <w:rPr>
          <w:sz w:val="24"/>
          <w:szCs w:val="24"/>
        </w:rPr>
        <w:sectPr w:rsidR="00F05163" w:rsidRPr="00756375" w:rsidSect="001872C4">
          <w:pgSz w:w="12240" w:h="15840"/>
          <w:pgMar w:top="1008" w:right="1152" w:bottom="720" w:left="1152" w:header="720" w:footer="432" w:gutter="0"/>
          <w:pgNumType w:start="1"/>
          <w:cols w:space="720"/>
          <w:docGrid w:linePitch="360"/>
        </w:sectPr>
      </w:pPr>
      <w:r w:rsidRPr="00756375">
        <w:rPr>
          <w:sz w:val="24"/>
          <w:szCs w:val="24"/>
        </w:rPr>
        <w:br w:type="page"/>
      </w:r>
    </w:p>
    <w:p w14:paraId="578ECAB0" w14:textId="7E598942" w:rsidR="00692650" w:rsidRPr="00756375" w:rsidRDefault="00AF500E" w:rsidP="00610DE9">
      <w:pPr>
        <w:pStyle w:val="Heading1"/>
        <w:rPr>
          <w:sz w:val="24"/>
          <w:szCs w:val="24"/>
        </w:rPr>
      </w:pPr>
      <w:bookmarkStart w:id="1" w:name="_Toc156943180"/>
      <w:r w:rsidRPr="00756375">
        <w:rPr>
          <w:sz w:val="24"/>
          <w:szCs w:val="24"/>
        </w:rPr>
        <w:lastRenderedPageBreak/>
        <w:t>Reflections on Continuous Improvement Since Last Comprehensive Review</w:t>
      </w:r>
      <w:bookmarkEnd w:id="1"/>
    </w:p>
    <w:p w14:paraId="26035505" w14:textId="6948F7F4" w:rsidR="00875F0F" w:rsidRPr="00756375" w:rsidRDefault="00875F0F" w:rsidP="00EA68CF">
      <w:pPr>
        <w:rPr>
          <w:sz w:val="24"/>
          <w:szCs w:val="24"/>
        </w:rPr>
      </w:pPr>
      <w:r w:rsidRPr="00756375">
        <w:rPr>
          <w:sz w:val="24"/>
          <w:szCs w:val="24"/>
        </w:rPr>
        <w:t>Provide brief responses to the prompts below</w:t>
      </w:r>
      <w:r w:rsidR="00F13DD1" w:rsidRPr="00756375">
        <w:rPr>
          <w:sz w:val="24"/>
          <w:szCs w:val="24"/>
        </w:rPr>
        <w:t>, referring to the Peer Review Team Report for the last comprehensive peer review</w:t>
      </w:r>
      <w:r w:rsidRPr="00756375">
        <w:rPr>
          <w:sz w:val="24"/>
          <w:szCs w:val="24"/>
        </w:rPr>
        <w:t xml:space="preserve">. Suggested length for </w:t>
      </w:r>
      <w:r w:rsidR="007D4570" w:rsidRPr="00756375">
        <w:rPr>
          <w:sz w:val="24"/>
          <w:szCs w:val="24"/>
        </w:rPr>
        <w:t xml:space="preserve">Section A </w:t>
      </w:r>
      <w:r w:rsidRPr="00756375">
        <w:rPr>
          <w:sz w:val="24"/>
          <w:szCs w:val="24"/>
        </w:rPr>
        <w:t xml:space="preserve">is </w:t>
      </w:r>
      <w:r w:rsidR="007D4570" w:rsidRPr="00756375">
        <w:rPr>
          <w:sz w:val="24"/>
          <w:szCs w:val="24"/>
        </w:rPr>
        <w:t xml:space="preserve">3 pages. </w:t>
      </w:r>
    </w:p>
    <w:p w14:paraId="34DF7E4D" w14:textId="77777777" w:rsidR="00875F0F" w:rsidRPr="00756375" w:rsidRDefault="00875F0F" w:rsidP="00EA68CF">
      <w:pPr>
        <w:rPr>
          <w:sz w:val="24"/>
          <w:szCs w:val="24"/>
          <w:highlight w:val="yellow"/>
        </w:rPr>
      </w:pPr>
    </w:p>
    <w:p w14:paraId="1D93D1E3" w14:textId="15A368C1" w:rsidR="003F53A7" w:rsidRPr="00756375" w:rsidRDefault="00AF500E" w:rsidP="00AF500E">
      <w:pPr>
        <w:ind w:left="360" w:hanging="360"/>
        <w:rPr>
          <w:sz w:val="24"/>
          <w:szCs w:val="24"/>
        </w:rPr>
      </w:pPr>
      <w:r w:rsidRPr="00756375">
        <w:rPr>
          <w:b/>
          <w:bCs/>
          <w:sz w:val="24"/>
          <w:szCs w:val="24"/>
        </w:rPr>
        <w:t>1.</w:t>
      </w:r>
      <w:r w:rsidRPr="00756375">
        <w:rPr>
          <w:sz w:val="24"/>
          <w:szCs w:val="24"/>
        </w:rPr>
        <w:tab/>
      </w:r>
      <w:r w:rsidR="008109ED" w:rsidRPr="00756375">
        <w:rPr>
          <w:b/>
          <w:bCs/>
          <w:sz w:val="24"/>
          <w:szCs w:val="24"/>
        </w:rPr>
        <w:t>Briefly</w:t>
      </w:r>
      <w:r w:rsidRPr="00756375">
        <w:rPr>
          <w:b/>
          <w:bCs/>
          <w:sz w:val="24"/>
          <w:szCs w:val="24"/>
        </w:rPr>
        <w:t xml:space="preserve"> describe major improvements or innovations since the time of the last comprehensive peer review, focusing on areas where your institution is excelling or showing significant improvement with regard to </w:t>
      </w:r>
      <w:r w:rsidR="00875F0F" w:rsidRPr="00756375">
        <w:rPr>
          <w:b/>
          <w:bCs/>
          <w:sz w:val="24"/>
          <w:szCs w:val="24"/>
        </w:rPr>
        <w:t>equitable student outcomes, educational quality, and/or mission fulfillment</w:t>
      </w:r>
      <w:r w:rsidR="00B868CE" w:rsidRPr="00756375">
        <w:rPr>
          <w:b/>
          <w:bCs/>
          <w:sz w:val="24"/>
          <w:szCs w:val="24"/>
        </w:rPr>
        <w:t>.</w:t>
      </w:r>
      <w:r w:rsidRPr="00756375" w:rsidDel="00875F0F">
        <w:rPr>
          <w:rStyle w:val="CommentReference"/>
          <w:sz w:val="24"/>
          <w:szCs w:val="24"/>
        </w:rPr>
        <w:t xml:space="preserve"> </w:t>
      </w:r>
    </w:p>
    <w:p w14:paraId="105DDEEC" w14:textId="77777777" w:rsidR="00EA68CF" w:rsidRPr="00756375" w:rsidRDefault="00EA68CF" w:rsidP="00D47C67">
      <w:pPr>
        <w:rPr>
          <w:sz w:val="24"/>
          <w:szCs w:val="24"/>
        </w:rPr>
      </w:pPr>
    </w:p>
    <w:p w14:paraId="681FDBA0" w14:textId="2C694F55" w:rsidR="008305A8" w:rsidRPr="00756375" w:rsidRDefault="008305A8" w:rsidP="008305A8">
      <w:pPr>
        <w:rPr>
          <w:sz w:val="24"/>
          <w:szCs w:val="24"/>
        </w:rPr>
      </w:pPr>
      <w:r w:rsidRPr="00756375">
        <w:rPr>
          <w:sz w:val="24"/>
          <w:szCs w:val="24"/>
        </w:rPr>
        <w:t xml:space="preserve">Since the last comprehensive peer review, </w:t>
      </w:r>
      <w:r w:rsidR="009074C4" w:rsidRPr="00756375">
        <w:rPr>
          <w:sz w:val="24"/>
          <w:szCs w:val="24"/>
        </w:rPr>
        <w:t>Taft College has made substantial progress in advancing student success, enhancing educational quality, and reinforcing its mission to serve a diverse community of learners. These improvements are reflected in a range of strategic initiatives designed to foster a supportive, inclusive, and high-impact learning environment.</w:t>
      </w:r>
      <w:r w:rsidRPr="00756375">
        <w:rPr>
          <w:sz w:val="24"/>
          <w:szCs w:val="24"/>
        </w:rPr>
        <w:t xml:space="preserve"> By aligning practices with its strategic priorities, the </w:t>
      </w:r>
      <w:r w:rsidR="00BB185E" w:rsidRPr="00756375">
        <w:rPr>
          <w:sz w:val="24"/>
          <w:szCs w:val="24"/>
        </w:rPr>
        <w:t>C</w:t>
      </w:r>
      <w:r w:rsidRPr="00756375">
        <w:rPr>
          <w:sz w:val="24"/>
          <w:szCs w:val="24"/>
        </w:rPr>
        <w:t>ollege continues to create pathways to success for all students, especially those from historically underserved backgrounds. Taft College’s ongoing commitment to student achievement is demonstrated through innovative programs that enhance educational opportunities, address equity gaps, and strengthen community engagement.</w:t>
      </w:r>
      <w:r w:rsidR="00F27727" w:rsidRPr="00756375">
        <w:rPr>
          <w:sz w:val="24"/>
          <w:szCs w:val="24"/>
        </w:rPr>
        <w:t xml:space="preserve"> In support of effective and transparent governance, the College provides training and professional development on participatory governance, Administrative Procedures, Board Policies, the 10+1 framework, and related processes for administrators, faculty, staff, and students (</w:t>
      </w:r>
      <w:hyperlink r:id="rId12" w:history="1">
        <w:r w:rsidR="00F27727" w:rsidRPr="00756375">
          <w:rPr>
            <w:rStyle w:val="Hyperlink"/>
            <w:sz w:val="24"/>
            <w:szCs w:val="24"/>
          </w:rPr>
          <w:t>Participatory Governance Handout.pdf</w:t>
        </w:r>
      </w:hyperlink>
      <w:r w:rsidR="00F27727" w:rsidRPr="00756375">
        <w:rPr>
          <w:sz w:val="24"/>
          <w:szCs w:val="24"/>
        </w:rPr>
        <w:t>) (</w:t>
      </w:r>
      <w:hyperlink r:id="rId13" w:history="1">
        <w:r w:rsidR="00F27727" w:rsidRPr="00756375">
          <w:rPr>
            <w:rStyle w:val="Hyperlink"/>
            <w:sz w:val="24"/>
            <w:szCs w:val="24"/>
          </w:rPr>
          <w:t>Participatory Governance - Workshop Minutes.docx</w:t>
        </w:r>
      </w:hyperlink>
      <w:r w:rsidR="00F27727" w:rsidRPr="00756375">
        <w:rPr>
          <w:sz w:val="24"/>
          <w:szCs w:val="24"/>
        </w:rPr>
        <w:t>).</w:t>
      </w:r>
    </w:p>
    <w:p w14:paraId="29397BFE" w14:textId="77777777" w:rsidR="008305A8" w:rsidRPr="00756375" w:rsidRDefault="008305A8" w:rsidP="008305A8">
      <w:pPr>
        <w:rPr>
          <w:sz w:val="24"/>
          <w:szCs w:val="24"/>
        </w:rPr>
      </w:pPr>
    </w:p>
    <w:p w14:paraId="07387899" w14:textId="596A6855" w:rsidR="008305A8" w:rsidRPr="00756375" w:rsidRDefault="00AA767E" w:rsidP="008305A8">
      <w:pPr>
        <w:rPr>
          <w:b/>
          <w:bCs/>
          <w:sz w:val="24"/>
          <w:szCs w:val="24"/>
        </w:rPr>
      </w:pPr>
      <w:r w:rsidRPr="00756375">
        <w:rPr>
          <w:b/>
          <w:bCs/>
          <w:sz w:val="24"/>
          <w:szCs w:val="24"/>
        </w:rPr>
        <w:t>Taft College MESA: Advancing STEM Access and Student Success</w:t>
      </w:r>
    </w:p>
    <w:p w14:paraId="44484D20" w14:textId="49B430C9" w:rsidR="00AA767E" w:rsidRPr="00756375" w:rsidRDefault="00AA767E" w:rsidP="00AA767E">
      <w:pPr>
        <w:rPr>
          <w:sz w:val="24"/>
          <w:szCs w:val="24"/>
        </w:rPr>
      </w:pPr>
      <w:r w:rsidRPr="00756375">
        <w:rPr>
          <w:sz w:val="24"/>
          <w:szCs w:val="24"/>
        </w:rPr>
        <w:t>Launched in 2023, the Taft College Mathematics, Engineering, Science Achievement</w:t>
      </w:r>
      <w:r w:rsidR="002D5967" w:rsidRPr="00756375">
        <w:rPr>
          <w:sz w:val="24"/>
          <w:szCs w:val="24"/>
        </w:rPr>
        <w:t xml:space="preserve"> (MESA</w:t>
      </w:r>
      <w:r w:rsidRPr="00756375">
        <w:rPr>
          <w:sz w:val="24"/>
          <w:szCs w:val="24"/>
        </w:rPr>
        <w:t>) program has quickly become a high-impact initiative supporting underrepresented students in</w:t>
      </w:r>
      <w:r w:rsidR="002D5967" w:rsidRPr="00756375">
        <w:rPr>
          <w:sz w:val="24"/>
          <w:szCs w:val="24"/>
        </w:rPr>
        <w:t xml:space="preserve"> Science, Technology, Engineering, and Mathematics (</w:t>
      </w:r>
      <w:r w:rsidRPr="00756375">
        <w:rPr>
          <w:sz w:val="24"/>
          <w:szCs w:val="24"/>
        </w:rPr>
        <w:t>STEM</w:t>
      </w:r>
      <w:r w:rsidR="002D5967" w:rsidRPr="00756375">
        <w:rPr>
          <w:sz w:val="24"/>
          <w:szCs w:val="24"/>
        </w:rPr>
        <w:t>)</w:t>
      </w:r>
      <w:r w:rsidRPr="00756375">
        <w:rPr>
          <w:sz w:val="24"/>
          <w:szCs w:val="24"/>
        </w:rPr>
        <w:t>. MESA reflects the College’s commitment to expanding access to higher education and fostering inclusive student success. Through academic support, leadership development, and career exploration, the program helps students build confidence, community, and professional readiness in high-demand STEM fields.</w:t>
      </w:r>
    </w:p>
    <w:p w14:paraId="24C3AC07" w14:textId="77777777" w:rsidR="00AA767E" w:rsidRPr="00756375" w:rsidRDefault="00AA767E" w:rsidP="00AA767E">
      <w:pPr>
        <w:rPr>
          <w:sz w:val="24"/>
          <w:szCs w:val="24"/>
        </w:rPr>
      </w:pPr>
    </w:p>
    <w:p w14:paraId="01AB5580" w14:textId="5CF41ABF" w:rsidR="00AA767E" w:rsidRPr="00756375" w:rsidRDefault="00285632" w:rsidP="00AA767E">
      <w:pPr>
        <w:rPr>
          <w:i/>
          <w:iCs/>
          <w:sz w:val="24"/>
          <w:szCs w:val="24"/>
          <w:u w:val="single"/>
        </w:rPr>
      </w:pPr>
      <w:r w:rsidRPr="00756375">
        <w:rPr>
          <w:i/>
          <w:iCs/>
          <w:sz w:val="24"/>
          <w:szCs w:val="24"/>
        </w:rPr>
        <w:t xml:space="preserve">MESA </w:t>
      </w:r>
      <w:r w:rsidR="00514FB2" w:rsidRPr="00756375">
        <w:rPr>
          <w:sz w:val="24"/>
          <w:szCs w:val="24"/>
        </w:rPr>
        <w:t>(</w:t>
      </w:r>
      <w:hyperlink r:id="rId14" w:tgtFrame="_blank" w:history="1">
        <w:r w:rsidR="00514FB2" w:rsidRPr="00756375">
          <w:rPr>
            <w:rStyle w:val="Hyperlink"/>
            <w:sz w:val="24"/>
            <w:szCs w:val="24"/>
          </w:rPr>
          <w:t>MESA Program | Taft College</w:t>
        </w:r>
      </w:hyperlink>
      <w:r w:rsidR="00514FB2" w:rsidRPr="00756375">
        <w:rPr>
          <w:sz w:val="24"/>
          <w:szCs w:val="24"/>
        </w:rPr>
        <w:t xml:space="preserve">) </w:t>
      </w:r>
      <w:r w:rsidR="00514FB2" w:rsidRPr="00756375">
        <w:rPr>
          <w:i/>
          <w:iCs/>
          <w:sz w:val="24"/>
          <w:szCs w:val="24"/>
        </w:rPr>
        <w:t>Notable Achievements</w:t>
      </w:r>
      <w:r w:rsidR="00AA767E" w:rsidRPr="00756375">
        <w:rPr>
          <w:i/>
          <w:iCs/>
          <w:sz w:val="24"/>
          <w:szCs w:val="24"/>
          <w:u w:val="single"/>
        </w:rPr>
        <w:t>:</w:t>
      </w:r>
    </w:p>
    <w:p w14:paraId="66D600A0" w14:textId="4A602786" w:rsidR="00AA767E" w:rsidRPr="00756375" w:rsidRDefault="00AA767E" w:rsidP="0037779E">
      <w:pPr>
        <w:pStyle w:val="ListParagraph"/>
        <w:numPr>
          <w:ilvl w:val="0"/>
          <w:numId w:val="43"/>
        </w:numPr>
        <w:rPr>
          <w:sz w:val="24"/>
          <w:szCs w:val="24"/>
        </w:rPr>
      </w:pPr>
      <w:r w:rsidRPr="00756375">
        <w:rPr>
          <w:sz w:val="24"/>
          <w:szCs w:val="24"/>
        </w:rPr>
        <w:t xml:space="preserve">Professional Exposure: Students attended national STEM conferences </w:t>
      </w:r>
      <w:r w:rsidR="00A93ECA" w:rsidRPr="00756375">
        <w:rPr>
          <w:sz w:val="24"/>
          <w:szCs w:val="24"/>
        </w:rPr>
        <w:t>including Society of Hispanic Professional Engineers (SHPE)</w:t>
      </w:r>
      <w:r w:rsidR="00D00ADA" w:rsidRPr="00756375">
        <w:rPr>
          <w:sz w:val="24"/>
          <w:szCs w:val="24"/>
        </w:rPr>
        <w:t xml:space="preserve"> (</w:t>
      </w:r>
      <w:hyperlink r:id="rId15" w:tgtFrame="_blank" w:history="1">
        <w:r w:rsidR="00D00ADA" w:rsidRPr="00756375">
          <w:rPr>
            <w:rStyle w:val="Hyperlink"/>
            <w:sz w:val="24"/>
            <w:szCs w:val="24"/>
          </w:rPr>
          <w:t>SHPE National Conference 2024.pdf</w:t>
        </w:r>
      </w:hyperlink>
      <w:r w:rsidR="00D00ADA" w:rsidRPr="00756375">
        <w:rPr>
          <w:sz w:val="24"/>
          <w:szCs w:val="24"/>
        </w:rPr>
        <w:t>)</w:t>
      </w:r>
      <w:r w:rsidRPr="00756375">
        <w:rPr>
          <w:sz w:val="24"/>
          <w:szCs w:val="24"/>
        </w:rPr>
        <w:t xml:space="preserve">, </w:t>
      </w:r>
      <w:r w:rsidR="002D5967" w:rsidRPr="00756375">
        <w:rPr>
          <w:sz w:val="24"/>
          <w:szCs w:val="24"/>
        </w:rPr>
        <w:t>Society for Advancement of Chicanos/Hispanics and Native Americans in Science (</w:t>
      </w:r>
      <w:r w:rsidRPr="00756375">
        <w:rPr>
          <w:sz w:val="24"/>
          <w:szCs w:val="24"/>
        </w:rPr>
        <w:t>SACNAS</w:t>
      </w:r>
      <w:r w:rsidR="002D5967" w:rsidRPr="00756375">
        <w:rPr>
          <w:sz w:val="24"/>
          <w:szCs w:val="24"/>
        </w:rPr>
        <w:t>)</w:t>
      </w:r>
      <w:r w:rsidR="00D00ADA" w:rsidRPr="00756375">
        <w:rPr>
          <w:sz w:val="24"/>
          <w:szCs w:val="24"/>
        </w:rPr>
        <w:t xml:space="preserve">( </w:t>
      </w:r>
      <w:hyperlink r:id="rId16" w:tgtFrame="_blank" w:history="1">
        <w:r w:rsidR="00D00ADA" w:rsidRPr="00756375">
          <w:rPr>
            <w:rStyle w:val="Hyperlink"/>
            <w:sz w:val="24"/>
            <w:szCs w:val="24"/>
          </w:rPr>
          <w:t>2024 conference by the numbers_final.pdf</w:t>
        </w:r>
      </w:hyperlink>
      <w:r w:rsidR="00D00ADA" w:rsidRPr="00756375">
        <w:rPr>
          <w:sz w:val="24"/>
          <w:szCs w:val="24"/>
        </w:rPr>
        <w:t>)</w:t>
      </w:r>
      <w:r w:rsidRPr="00756375">
        <w:rPr>
          <w:sz w:val="24"/>
          <w:szCs w:val="24"/>
        </w:rPr>
        <w:t>, Disney Imagination Campus</w:t>
      </w:r>
      <w:r w:rsidR="00D00ADA" w:rsidRPr="00756375">
        <w:rPr>
          <w:sz w:val="24"/>
          <w:szCs w:val="24"/>
        </w:rPr>
        <w:t xml:space="preserve"> (</w:t>
      </w:r>
      <w:hyperlink r:id="rId17" w:tgtFrame="_blank" w:history="1">
        <w:r w:rsidR="00D00ADA" w:rsidRPr="00756375">
          <w:rPr>
            <w:rStyle w:val="Hyperlink"/>
            <w:sz w:val="24"/>
            <w:szCs w:val="24"/>
          </w:rPr>
          <w:t>Science &amp; Technology | Our Curriculum | Disney Imagination Campus</w:t>
        </w:r>
      </w:hyperlink>
      <w:r w:rsidR="00D00ADA" w:rsidRPr="00756375">
        <w:rPr>
          <w:sz w:val="24"/>
          <w:szCs w:val="24"/>
        </w:rPr>
        <w:t> )</w:t>
      </w:r>
      <w:r w:rsidR="00A93ECA" w:rsidRPr="00756375">
        <w:rPr>
          <w:sz w:val="24"/>
          <w:szCs w:val="24"/>
        </w:rPr>
        <w:t>;</w:t>
      </w:r>
      <w:r w:rsidRPr="00756375">
        <w:rPr>
          <w:sz w:val="24"/>
          <w:szCs w:val="24"/>
        </w:rPr>
        <w:t xml:space="preserve"> and visited universities including</w:t>
      </w:r>
      <w:r w:rsidR="002D5967" w:rsidRPr="00756375">
        <w:rPr>
          <w:sz w:val="24"/>
          <w:szCs w:val="24"/>
        </w:rPr>
        <w:t xml:space="preserve"> University of California Santa Barbara</w:t>
      </w:r>
      <w:r w:rsidRPr="00756375">
        <w:rPr>
          <w:sz w:val="24"/>
          <w:szCs w:val="24"/>
        </w:rPr>
        <w:t xml:space="preserve"> </w:t>
      </w:r>
      <w:r w:rsidR="002D5967" w:rsidRPr="00756375">
        <w:rPr>
          <w:sz w:val="24"/>
          <w:szCs w:val="24"/>
        </w:rPr>
        <w:t>(</w:t>
      </w:r>
      <w:r w:rsidRPr="00756375">
        <w:rPr>
          <w:sz w:val="24"/>
          <w:szCs w:val="24"/>
        </w:rPr>
        <w:t>UCSB</w:t>
      </w:r>
      <w:r w:rsidR="002D5967" w:rsidRPr="00756375">
        <w:rPr>
          <w:sz w:val="24"/>
          <w:szCs w:val="24"/>
        </w:rPr>
        <w:t>)</w:t>
      </w:r>
      <w:r w:rsidRPr="00756375">
        <w:rPr>
          <w:sz w:val="24"/>
          <w:szCs w:val="24"/>
        </w:rPr>
        <w:t>, C</w:t>
      </w:r>
      <w:r w:rsidR="00E94DE0">
        <w:rPr>
          <w:sz w:val="24"/>
          <w:szCs w:val="24"/>
        </w:rPr>
        <w:t xml:space="preserve">alifornia State University </w:t>
      </w:r>
      <w:r w:rsidRPr="00756375">
        <w:rPr>
          <w:sz w:val="24"/>
          <w:szCs w:val="24"/>
        </w:rPr>
        <w:t xml:space="preserve">Fullerton, and </w:t>
      </w:r>
      <w:r w:rsidR="00E94DE0">
        <w:rPr>
          <w:sz w:val="24"/>
          <w:szCs w:val="24"/>
        </w:rPr>
        <w:t>California Polytechnic State University (Cal Poly)</w:t>
      </w:r>
      <w:r w:rsidRPr="00756375">
        <w:rPr>
          <w:sz w:val="24"/>
          <w:szCs w:val="24"/>
        </w:rPr>
        <w:t>.</w:t>
      </w:r>
    </w:p>
    <w:p w14:paraId="2E76D389" w14:textId="51A8295F" w:rsidR="00AA767E" w:rsidRPr="00756375" w:rsidRDefault="00AA767E" w:rsidP="0023439C">
      <w:pPr>
        <w:pStyle w:val="ListParagraph"/>
        <w:numPr>
          <w:ilvl w:val="0"/>
          <w:numId w:val="43"/>
        </w:numPr>
        <w:rPr>
          <w:sz w:val="24"/>
          <w:szCs w:val="24"/>
        </w:rPr>
      </w:pPr>
      <w:r w:rsidRPr="00756375">
        <w:rPr>
          <w:sz w:val="24"/>
          <w:szCs w:val="24"/>
        </w:rPr>
        <w:t xml:space="preserve">Student Leadership </w:t>
      </w:r>
      <w:r w:rsidR="00A93ECA" w:rsidRPr="00756375">
        <w:rPr>
          <w:sz w:val="24"/>
          <w:szCs w:val="24"/>
        </w:rPr>
        <w:t>and</w:t>
      </w:r>
      <w:r w:rsidRPr="00756375">
        <w:rPr>
          <w:sz w:val="24"/>
          <w:szCs w:val="24"/>
        </w:rPr>
        <w:t xml:space="preserve"> Engagement: </w:t>
      </w:r>
      <w:r w:rsidR="00E94DE0">
        <w:rPr>
          <w:sz w:val="24"/>
          <w:szCs w:val="24"/>
        </w:rPr>
        <w:t>MESA in Taft l</w:t>
      </w:r>
      <w:r w:rsidRPr="00756375">
        <w:rPr>
          <w:sz w:val="24"/>
          <w:szCs w:val="24"/>
        </w:rPr>
        <w:t>aunched a SHPE chapter, hosted leadership retreats, and held student-centered events such as banquets and camping trips.</w:t>
      </w:r>
    </w:p>
    <w:p w14:paraId="0CFC5781" w14:textId="2312D113" w:rsidR="00AA767E" w:rsidRPr="00756375" w:rsidRDefault="00AA767E" w:rsidP="00564C6E">
      <w:pPr>
        <w:pStyle w:val="ListParagraph"/>
        <w:numPr>
          <w:ilvl w:val="0"/>
          <w:numId w:val="43"/>
        </w:numPr>
        <w:rPr>
          <w:sz w:val="24"/>
          <w:szCs w:val="24"/>
        </w:rPr>
      </w:pPr>
      <w:r w:rsidRPr="00756375">
        <w:rPr>
          <w:sz w:val="24"/>
          <w:szCs w:val="24"/>
        </w:rPr>
        <w:t xml:space="preserve">STEM Pipeline Development: </w:t>
      </w:r>
      <w:r w:rsidR="00E94DE0">
        <w:rPr>
          <w:sz w:val="24"/>
          <w:szCs w:val="24"/>
        </w:rPr>
        <w:t>MESA l</w:t>
      </w:r>
      <w:r w:rsidRPr="00756375">
        <w:rPr>
          <w:sz w:val="24"/>
          <w:szCs w:val="24"/>
        </w:rPr>
        <w:t>ed “Taft College Takeover” outreach events at local high schools to inspire future STEM students.</w:t>
      </w:r>
    </w:p>
    <w:p w14:paraId="1C202B1C" w14:textId="002BBE9C" w:rsidR="00AA767E" w:rsidRPr="00756375" w:rsidRDefault="00AA767E" w:rsidP="009B17F1">
      <w:pPr>
        <w:pStyle w:val="ListParagraph"/>
        <w:numPr>
          <w:ilvl w:val="0"/>
          <w:numId w:val="43"/>
        </w:numPr>
        <w:rPr>
          <w:sz w:val="24"/>
          <w:szCs w:val="24"/>
        </w:rPr>
      </w:pPr>
      <w:r w:rsidRPr="00756375">
        <w:rPr>
          <w:sz w:val="24"/>
          <w:szCs w:val="24"/>
        </w:rPr>
        <w:t xml:space="preserve">Innovative Projects: </w:t>
      </w:r>
      <w:r w:rsidR="00E94DE0">
        <w:rPr>
          <w:sz w:val="24"/>
          <w:szCs w:val="24"/>
        </w:rPr>
        <w:t>Students c</w:t>
      </w:r>
      <w:r w:rsidRPr="00756375">
        <w:rPr>
          <w:sz w:val="24"/>
          <w:szCs w:val="24"/>
        </w:rPr>
        <w:t xml:space="preserve">ompleted hands-on tech projects (e.g., </w:t>
      </w:r>
      <w:r w:rsidR="00A93ECA" w:rsidRPr="00756375">
        <w:rPr>
          <w:sz w:val="24"/>
          <w:szCs w:val="24"/>
        </w:rPr>
        <w:t>personal computer</w:t>
      </w:r>
      <w:r w:rsidRPr="00756375">
        <w:rPr>
          <w:sz w:val="24"/>
          <w:szCs w:val="24"/>
        </w:rPr>
        <w:t xml:space="preserve"> builds, racing simulator) and launched a student-led social media campaign.</w:t>
      </w:r>
    </w:p>
    <w:p w14:paraId="2A28ED70" w14:textId="41EC5B51" w:rsidR="008305A8" w:rsidRPr="00756375" w:rsidRDefault="00AA767E" w:rsidP="00AA767E">
      <w:pPr>
        <w:pStyle w:val="ListParagraph"/>
        <w:numPr>
          <w:ilvl w:val="0"/>
          <w:numId w:val="43"/>
        </w:numPr>
        <w:rPr>
          <w:sz w:val="24"/>
          <w:szCs w:val="24"/>
        </w:rPr>
      </w:pPr>
      <w:bookmarkStart w:id="2" w:name="_Hlk207830875"/>
      <w:r w:rsidRPr="00756375">
        <w:rPr>
          <w:sz w:val="24"/>
          <w:szCs w:val="24"/>
        </w:rPr>
        <w:t xml:space="preserve">Institutional Collaboration: </w:t>
      </w:r>
      <w:r w:rsidR="00E94DE0">
        <w:rPr>
          <w:sz w:val="24"/>
          <w:szCs w:val="24"/>
        </w:rPr>
        <w:t>Staff and students h</w:t>
      </w:r>
      <w:r w:rsidRPr="00756375">
        <w:rPr>
          <w:sz w:val="24"/>
          <w:szCs w:val="24"/>
        </w:rPr>
        <w:t xml:space="preserve">osted a </w:t>
      </w:r>
      <w:r w:rsidR="00A93ECA" w:rsidRPr="00756375">
        <w:rPr>
          <w:sz w:val="24"/>
          <w:szCs w:val="24"/>
        </w:rPr>
        <w:t>college district Board of Trustees tour</w:t>
      </w:r>
      <w:r w:rsidRPr="00756375">
        <w:rPr>
          <w:sz w:val="24"/>
          <w:szCs w:val="24"/>
        </w:rPr>
        <w:t xml:space="preserve"> of the MESA Center, conducted student worker interviews</w:t>
      </w:r>
      <w:r w:rsidR="002D5967" w:rsidRPr="00756375">
        <w:rPr>
          <w:sz w:val="24"/>
          <w:szCs w:val="24"/>
        </w:rPr>
        <w:t xml:space="preserve"> to gather feedback on their experiences and the impact of the program</w:t>
      </w:r>
      <w:r w:rsidRPr="00756375">
        <w:rPr>
          <w:sz w:val="24"/>
          <w:szCs w:val="24"/>
        </w:rPr>
        <w:t xml:space="preserve">, and participated in statewide MESA leadership </w:t>
      </w:r>
      <w:r w:rsidRPr="00756375">
        <w:rPr>
          <w:sz w:val="24"/>
          <w:szCs w:val="24"/>
        </w:rPr>
        <w:lastRenderedPageBreak/>
        <w:t>meetings</w:t>
      </w:r>
      <w:r w:rsidR="00D00ADA" w:rsidRPr="00756375">
        <w:rPr>
          <w:sz w:val="24"/>
          <w:szCs w:val="24"/>
        </w:rPr>
        <w:t xml:space="preserve"> (</w:t>
      </w:r>
      <w:hyperlink r:id="rId18" w:tgtFrame="_blank" w:history="1">
        <w:r w:rsidR="00D00ADA" w:rsidRPr="00756375">
          <w:rPr>
            <w:rStyle w:val="Hyperlink"/>
            <w:sz w:val="24"/>
            <w:szCs w:val="24"/>
          </w:rPr>
          <w:t>MESA Student Leadership Retreat</w:t>
        </w:r>
      </w:hyperlink>
      <w:r w:rsidRPr="00756375">
        <w:rPr>
          <w:sz w:val="24"/>
          <w:szCs w:val="24"/>
        </w:rPr>
        <w:t>.</w:t>
      </w:r>
      <w:r w:rsidR="00D00ADA" w:rsidRPr="00756375">
        <w:rPr>
          <w:sz w:val="24"/>
          <w:szCs w:val="24"/>
        </w:rPr>
        <w:t>)</w:t>
      </w:r>
      <w:r w:rsidR="00C16D2A" w:rsidRPr="00756375">
        <w:rPr>
          <w:sz w:val="24"/>
          <w:szCs w:val="24"/>
        </w:rPr>
        <w:t xml:space="preserve">                </w:t>
      </w:r>
    </w:p>
    <w:bookmarkEnd w:id="2"/>
    <w:p w14:paraId="134CE587" w14:textId="77777777" w:rsidR="00AA767E" w:rsidRPr="00756375" w:rsidRDefault="00AA767E" w:rsidP="00F159EC">
      <w:pPr>
        <w:rPr>
          <w:b/>
          <w:bCs/>
          <w:sz w:val="24"/>
          <w:szCs w:val="24"/>
        </w:rPr>
      </w:pPr>
    </w:p>
    <w:p w14:paraId="19ABC325" w14:textId="5A233248" w:rsidR="00F159EC" w:rsidRPr="00756375" w:rsidRDefault="00F159EC" w:rsidP="00F159EC">
      <w:pPr>
        <w:rPr>
          <w:b/>
          <w:bCs/>
          <w:sz w:val="24"/>
          <w:szCs w:val="24"/>
        </w:rPr>
      </w:pPr>
      <w:r w:rsidRPr="00756375">
        <w:rPr>
          <w:b/>
          <w:bCs/>
          <w:sz w:val="24"/>
          <w:szCs w:val="24"/>
        </w:rPr>
        <w:t>Baccalaureate Degree</w:t>
      </w:r>
    </w:p>
    <w:p w14:paraId="6D6A2B58" w14:textId="775CF1C8" w:rsidR="00F159EC" w:rsidRPr="00756375" w:rsidRDefault="00F159EC" w:rsidP="00F159EC">
      <w:pPr>
        <w:rPr>
          <w:sz w:val="24"/>
          <w:szCs w:val="24"/>
        </w:rPr>
      </w:pPr>
      <w:r w:rsidRPr="00756375">
        <w:rPr>
          <w:sz w:val="24"/>
          <w:szCs w:val="24"/>
        </w:rPr>
        <w:t xml:space="preserve">In 2024, Taft College reached a major milestone with the approval of its first Bachelor’s degree program in Dental Hygiene Administration, </w:t>
      </w:r>
      <w:r w:rsidR="00DE7EFB" w:rsidRPr="00756375">
        <w:rPr>
          <w:sz w:val="24"/>
          <w:szCs w:val="24"/>
        </w:rPr>
        <w:t>approved</w:t>
      </w:r>
      <w:r w:rsidRPr="00756375">
        <w:rPr>
          <w:sz w:val="24"/>
          <w:szCs w:val="24"/>
        </w:rPr>
        <w:t xml:space="preserve"> by the California Community Colleges Chancellor’s Office (CCCCO), </w:t>
      </w:r>
      <w:r w:rsidR="00DE7EFB" w:rsidRPr="00756375">
        <w:rPr>
          <w:sz w:val="24"/>
          <w:szCs w:val="24"/>
        </w:rPr>
        <w:t xml:space="preserve">and accredited by the </w:t>
      </w:r>
      <w:r w:rsidRPr="00756375">
        <w:rPr>
          <w:sz w:val="24"/>
          <w:szCs w:val="24"/>
        </w:rPr>
        <w:t>Accrediting Commission for Community and Junior Colleges (ACCJC), and the Dental Hygiene Board of California</w:t>
      </w:r>
      <w:r w:rsidR="00A93ECA" w:rsidRPr="00756375">
        <w:rPr>
          <w:sz w:val="24"/>
          <w:szCs w:val="24"/>
        </w:rPr>
        <w:t xml:space="preserve"> (DHBC)</w:t>
      </w:r>
      <w:r w:rsidRPr="00756375">
        <w:rPr>
          <w:sz w:val="24"/>
          <w:szCs w:val="24"/>
        </w:rPr>
        <w:t xml:space="preserve">. This program represents a significant advancement, showcasing the </w:t>
      </w:r>
      <w:r w:rsidR="00BB185E" w:rsidRPr="00756375">
        <w:rPr>
          <w:sz w:val="24"/>
          <w:szCs w:val="24"/>
        </w:rPr>
        <w:t>C</w:t>
      </w:r>
      <w:r w:rsidRPr="00756375">
        <w:rPr>
          <w:sz w:val="24"/>
          <w:szCs w:val="24"/>
        </w:rPr>
        <w:t xml:space="preserve">ollege’s commitment to providing high-quality, career-focused educational opportunities. Designed to equip students with advanced leadership skills in the dental </w:t>
      </w:r>
      <w:r w:rsidR="00D238F6" w:rsidRPr="00756375">
        <w:rPr>
          <w:sz w:val="24"/>
          <w:szCs w:val="24"/>
        </w:rPr>
        <w:t xml:space="preserve">hygiene </w:t>
      </w:r>
      <w:r w:rsidRPr="00756375">
        <w:rPr>
          <w:sz w:val="24"/>
          <w:szCs w:val="24"/>
        </w:rPr>
        <w:t>field, this degree offers a pathway for career advancement in high-demand profession</w:t>
      </w:r>
      <w:r w:rsidR="00E94DE0">
        <w:rPr>
          <w:sz w:val="24"/>
          <w:szCs w:val="24"/>
        </w:rPr>
        <w:t>s such as</w:t>
      </w:r>
      <w:r w:rsidR="00DE7EFB" w:rsidRPr="00756375">
        <w:rPr>
          <w:sz w:val="24"/>
          <w:szCs w:val="24"/>
        </w:rPr>
        <w:t xml:space="preserve"> college instruction, research, public policy, and public health</w:t>
      </w:r>
      <w:r w:rsidRPr="00756375">
        <w:rPr>
          <w:sz w:val="24"/>
          <w:szCs w:val="24"/>
        </w:rPr>
        <w:t>. By offering this bachelor’s program, Taft College expands access to higher education and provides students with specialized knowledge, helping to meet evolving workforce needs while maintaining academic rigor and excellence.</w:t>
      </w:r>
    </w:p>
    <w:p w14:paraId="22E0806E" w14:textId="77777777" w:rsidR="00F159EC" w:rsidRPr="00756375" w:rsidRDefault="00F159EC" w:rsidP="007D064B">
      <w:pPr>
        <w:rPr>
          <w:b/>
          <w:bCs/>
          <w:sz w:val="24"/>
          <w:szCs w:val="24"/>
        </w:rPr>
      </w:pPr>
    </w:p>
    <w:p w14:paraId="6321323C" w14:textId="77777777" w:rsidR="003E6AB4" w:rsidRPr="00756375" w:rsidRDefault="003E6AB4" w:rsidP="007D064B">
      <w:pPr>
        <w:rPr>
          <w:b/>
          <w:bCs/>
          <w:sz w:val="24"/>
          <w:szCs w:val="24"/>
        </w:rPr>
      </w:pPr>
      <w:bookmarkStart w:id="3" w:name="_Hlk196914484"/>
      <w:r w:rsidRPr="00756375">
        <w:rPr>
          <w:b/>
          <w:bCs/>
          <w:sz w:val="24"/>
          <w:szCs w:val="24"/>
        </w:rPr>
        <w:t>Innovations in Academic Programs</w:t>
      </w:r>
    </w:p>
    <w:p w14:paraId="4DFA3149" w14:textId="2DF55AD4" w:rsidR="000C5CD5" w:rsidRPr="00756375" w:rsidRDefault="003E6AB4" w:rsidP="007D064B">
      <w:pPr>
        <w:rPr>
          <w:sz w:val="24"/>
          <w:szCs w:val="24"/>
        </w:rPr>
      </w:pPr>
      <w:r w:rsidRPr="00756375">
        <w:rPr>
          <w:sz w:val="24"/>
          <w:szCs w:val="24"/>
        </w:rPr>
        <w:t xml:space="preserve">Since the last comprehensive peer review, Taft College has made significant strides in </w:t>
      </w:r>
      <w:r w:rsidR="00F241DF" w:rsidRPr="00756375">
        <w:rPr>
          <w:sz w:val="24"/>
          <w:szCs w:val="24"/>
        </w:rPr>
        <w:t>advancing</w:t>
      </w:r>
      <w:r w:rsidRPr="00756375">
        <w:rPr>
          <w:sz w:val="24"/>
          <w:szCs w:val="24"/>
        </w:rPr>
        <w:t xml:space="preserve"> student success and </w:t>
      </w:r>
      <w:r w:rsidR="00F241DF" w:rsidRPr="00756375">
        <w:rPr>
          <w:sz w:val="24"/>
          <w:szCs w:val="24"/>
        </w:rPr>
        <w:t>enriching its</w:t>
      </w:r>
      <w:r w:rsidRPr="00756375">
        <w:rPr>
          <w:sz w:val="24"/>
          <w:szCs w:val="24"/>
        </w:rPr>
        <w:t xml:space="preserve"> academic offerings. </w:t>
      </w:r>
      <w:r w:rsidR="00BF0F7D" w:rsidRPr="00756375">
        <w:rPr>
          <w:sz w:val="24"/>
          <w:szCs w:val="24"/>
        </w:rPr>
        <w:t>Notably</w:t>
      </w:r>
      <w:r w:rsidR="00F241DF" w:rsidRPr="00756375">
        <w:rPr>
          <w:sz w:val="24"/>
          <w:szCs w:val="24"/>
        </w:rPr>
        <w:t>,</w:t>
      </w:r>
      <w:r w:rsidRPr="00756375">
        <w:rPr>
          <w:sz w:val="24"/>
          <w:szCs w:val="24"/>
        </w:rPr>
        <w:t xml:space="preserve"> the </w:t>
      </w:r>
      <w:r w:rsidR="00F241DF" w:rsidRPr="00756375">
        <w:rPr>
          <w:sz w:val="24"/>
          <w:szCs w:val="24"/>
        </w:rPr>
        <w:t>College</w:t>
      </w:r>
      <w:r w:rsidRPr="00756375">
        <w:rPr>
          <w:sz w:val="24"/>
          <w:szCs w:val="24"/>
        </w:rPr>
        <w:t xml:space="preserve"> successfully launched the Elementary Teacher Education program, </w:t>
      </w:r>
      <w:bookmarkStart w:id="4" w:name="_Hlk208934332"/>
      <w:r w:rsidR="00F241DF" w:rsidRPr="00756375">
        <w:rPr>
          <w:sz w:val="24"/>
          <w:szCs w:val="24"/>
        </w:rPr>
        <w:t xml:space="preserve">providing students with valuable career pathways while maintaining a commitment to ongoing program review. </w:t>
      </w:r>
      <w:bookmarkEnd w:id="4"/>
      <w:r w:rsidR="00F241DF" w:rsidRPr="00756375">
        <w:rPr>
          <w:sz w:val="24"/>
          <w:szCs w:val="24"/>
        </w:rPr>
        <w:t>Additionally, the</w:t>
      </w:r>
      <w:r w:rsidRPr="00756375">
        <w:rPr>
          <w:sz w:val="24"/>
          <w:szCs w:val="24"/>
        </w:rPr>
        <w:t xml:space="preserve"> English Writing Lab, </w:t>
      </w:r>
      <w:r w:rsidR="00BF0F7D" w:rsidRPr="00756375">
        <w:rPr>
          <w:sz w:val="24"/>
          <w:szCs w:val="24"/>
        </w:rPr>
        <w:t>staffed by two full-time faculty members who regularly dedicate time to meet with</w:t>
      </w:r>
      <w:r w:rsidR="00E94DE0">
        <w:rPr>
          <w:sz w:val="24"/>
          <w:szCs w:val="24"/>
        </w:rPr>
        <w:t xml:space="preserve"> </w:t>
      </w:r>
      <w:bookmarkStart w:id="5" w:name="_Hlk208934375"/>
      <w:r w:rsidR="00E94DE0">
        <w:rPr>
          <w:sz w:val="24"/>
          <w:szCs w:val="24"/>
        </w:rPr>
        <w:t>students</w:t>
      </w:r>
      <w:r w:rsidR="00BF0F7D" w:rsidRPr="00756375">
        <w:rPr>
          <w:sz w:val="24"/>
          <w:szCs w:val="24"/>
        </w:rPr>
        <w:t>, continues to play a vital role in supporting student learning, particularly in English C1000 (formerly English 1500</w:t>
      </w:r>
      <w:r w:rsidR="00EE6301" w:rsidRPr="00756375">
        <w:rPr>
          <w:sz w:val="24"/>
          <w:szCs w:val="24"/>
        </w:rPr>
        <w:t xml:space="preserve">, </w:t>
      </w:r>
      <w:bookmarkEnd w:id="5"/>
      <w:r w:rsidR="00EE6301" w:rsidRPr="00756375">
        <w:rPr>
          <w:sz w:val="24"/>
          <w:szCs w:val="24"/>
        </w:rPr>
        <w:t>Composition and Reading</w:t>
      </w:r>
      <w:r w:rsidR="00BF0F7D" w:rsidRPr="00756375">
        <w:rPr>
          <w:sz w:val="24"/>
          <w:szCs w:val="24"/>
        </w:rPr>
        <w:t>)</w:t>
      </w:r>
      <w:r w:rsidRPr="00756375">
        <w:rPr>
          <w:sz w:val="24"/>
          <w:szCs w:val="24"/>
        </w:rPr>
        <w:t xml:space="preserve">. </w:t>
      </w:r>
      <w:r w:rsidR="000C5CD5" w:rsidRPr="00756375">
        <w:rPr>
          <w:sz w:val="24"/>
          <w:szCs w:val="24"/>
        </w:rPr>
        <w:t>The department remains committed to providing supplemental academic support following the elimination of English 1000 (Interactive Writing and Grammar)</w:t>
      </w:r>
      <w:r w:rsidR="00E94DE0">
        <w:rPr>
          <w:sz w:val="24"/>
          <w:szCs w:val="24"/>
        </w:rPr>
        <w:t xml:space="preserve"> and other remedial courses</w:t>
      </w:r>
      <w:r w:rsidR="000C5CD5" w:rsidRPr="00756375">
        <w:rPr>
          <w:sz w:val="24"/>
          <w:szCs w:val="24"/>
        </w:rPr>
        <w:t>, in alignment with recent changes in California State law.</w:t>
      </w:r>
    </w:p>
    <w:p w14:paraId="7ADF6481" w14:textId="77777777" w:rsidR="000C5CD5" w:rsidRPr="00756375" w:rsidRDefault="000C5CD5" w:rsidP="007D064B">
      <w:pPr>
        <w:rPr>
          <w:sz w:val="24"/>
          <w:szCs w:val="24"/>
        </w:rPr>
      </w:pPr>
    </w:p>
    <w:p w14:paraId="340D5E7A" w14:textId="1241A18D" w:rsidR="003E6AB4" w:rsidRPr="00756375" w:rsidRDefault="003E6AB4" w:rsidP="007D064B">
      <w:pPr>
        <w:rPr>
          <w:sz w:val="24"/>
          <w:szCs w:val="24"/>
        </w:rPr>
      </w:pPr>
      <w:r w:rsidRPr="00756375">
        <w:rPr>
          <w:sz w:val="24"/>
          <w:szCs w:val="24"/>
        </w:rPr>
        <w:t xml:space="preserve">In response to AB705, the department introduced English 1501, a four-unit course designed to provide additional support for students struggling with </w:t>
      </w:r>
      <w:r w:rsidR="00285632" w:rsidRPr="00756375">
        <w:rPr>
          <w:sz w:val="24"/>
          <w:szCs w:val="24"/>
        </w:rPr>
        <w:t>Englis</w:t>
      </w:r>
      <w:r w:rsidR="00DE7EFB" w:rsidRPr="00756375">
        <w:rPr>
          <w:sz w:val="24"/>
          <w:szCs w:val="24"/>
        </w:rPr>
        <w:t>h</w:t>
      </w:r>
      <w:r w:rsidR="00285632" w:rsidRPr="00756375">
        <w:rPr>
          <w:sz w:val="24"/>
          <w:szCs w:val="24"/>
        </w:rPr>
        <w:t xml:space="preserve"> C1000</w:t>
      </w:r>
      <w:r w:rsidRPr="00756375">
        <w:rPr>
          <w:sz w:val="24"/>
          <w:szCs w:val="24"/>
        </w:rPr>
        <w:t xml:space="preserve">. This innovation will be fully assessed in the next comprehensive program review. Additionally, a new course, English 1502, was developed to support non-native English speakers, which is particularly beneficial given the </w:t>
      </w:r>
      <w:r w:rsidR="000B2E32" w:rsidRPr="00756375">
        <w:rPr>
          <w:sz w:val="24"/>
          <w:szCs w:val="24"/>
        </w:rPr>
        <w:t>C</w:t>
      </w:r>
      <w:r w:rsidRPr="00756375">
        <w:rPr>
          <w:sz w:val="24"/>
          <w:szCs w:val="24"/>
        </w:rPr>
        <w:t xml:space="preserve">ollege’s designation as a Hispanic-Serving Institution. Committed to diversity and equity, the department has incorporated multicultural perspectives into its curriculum, including integrating </w:t>
      </w:r>
      <w:proofErr w:type="gramStart"/>
      <w:r w:rsidRPr="00756375">
        <w:rPr>
          <w:sz w:val="24"/>
          <w:szCs w:val="24"/>
        </w:rPr>
        <w:t>The</w:t>
      </w:r>
      <w:proofErr w:type="gramEnd"/>
      <w:r w:rsidRPr="00756375">
        <w:rPr>
          <w:sz w:val="24"/>
          <w:szCs w:val="24"/>
        </w:rPr>
        <w:t xml:space="preserve"> 1619 Project</w:t>
      </w:r>
      <w:r w:rsidR="00BE2EAE" w:rsidRPr="00756375">
        <w:rPr>
          <w:sz w:val="24"/>
          <w:szCs w:val="24"/>
        </w:rPr>
        <w:t xml:space="preserve">. </w:t>
      </w:r>
      <w:r w:rsidRPr="00756375">
        <w:rPr>
          <w:sz w:val="24"/>
          <w:szCs w:val="24"/>
        </w:rPr>
        <w:t>These efforts reflect Taft College’s proactive approach to improving academic outcomes and addressing the needs of diverse student populations.</w:t>
      </w:r>
    </w:p>
    <w:p w14:paraId="3BC5E098" w14:textId="77777777" w:rsidR="00BC13D1" w:rsidRPr="00756375" w:rsidRDefault="00BC13D1" w:rsidP="007D064B">
      <w:pPr>
        <w:rPr>
          <w:sz w:val="24"/>
          <w:szCs w:val="24"/>
        </w:rPr>
      </w:pPr>
    </w:p>
    <w:p w14:paraId="698C6054" w14:textId="1203D94B" w:rsidR="00BC13D1" w:rsidRPr="00756375" w:rsidRDefault="00FF32FA" w:rsidP="007D064B">
      <w:pPr>
        <w:rPr>
          <w:sz w:val="24"/>
          <w:szCs w:val="24"/>
        </w:rPr>
      </w:pPr>
      <w:r w:rsidRPr="00FF32FA">
        <w:rPr>
          <w:sz w:val="24"/>
          <w:szCs w:val="24"/>
        </w:rPr>
        <w:t>Further demonstrating the English Department’s academic leadership and spirit of professional collaboration, the department has played a central role in organizing the Kern County</w:t>
      </w:r>
      <w:r>
        <w:rPr>
          <w:sz w:val="24"/>
          <w:szCs w:val="24"/>
        </w:rPr>
        <w:t xml:space="preserve"> </w:t>
      </w:r>
      <w:r w:rsidR="00BC13D1" w:rsidRPr="00756375">
        <w:rPr>
          <w:sz w:val="24"/>
          <w:szCs w:val="24"/>
        </w:rPr>
        <w:t>Building Bridges Conference (</w:t>
      </w:r>
      <w:hyperlink r:id="rId19" w:history="1">
        <w:r>
          <w:rPr>
            <w:rStyle w:val="Hyperlink"/>
            <w:sz w:val="24"/>
            <w:szCs w:val="24"/>
          </w:rPr>
          <w:t>Building Bridges Conference - 2025 TC</w:t>
        </w:r>
      </w:hyperlink>
      <w:r w:rsidR="00BC13D1" w:rsidRPr="00756375">
        <w:rPr>
          <w:sz w:val="24"/>
          <w:szCs w:val="24"/>
        </w:rPr>
        <w:t>)</w:t>
      </w:r>
      <w:r w:rsidR="00A56904">
        <w:rPr>
          <w:sz w:val="24"/>
          <w:szCs w:val="24"/>
        </w:rPr>
        <w:t xml:space="preserve"> - </w:t>
      </w:r>
      <w:r w:rsidR="00BC13D1" w:rsidRPr="00756375">
        <w:rPr>
          <w:sz w:val="24"/>
          <w:szCs w:val="24"/>
        </w:rPr>
        <w:t>an annual event uniting CSUB, county high schools, and local community colleges for a day of professional sharing and collaboration. English faculty have actively participated in the event over the years, presenting on topics such as best practices for online education and dual enrollment initiatives. The department takes great pride in this ongoing, 25-year initiative and its role in fostering educational partnerships that benefit students throughout the region.</w:t>
      </w:r>
    </w:p>
    <w:bookmarkEnd w:id="3"/>
    <w:p w14:paraId="26B99BB7" w14:textId="77777777" w:rsidR="003E6AB4" w:rsidRPr="00756375" w:rsidRDefault="003E6AB4" w:rsidP="007D064B">
      <w:pPr>
        <w:rPr>
          <w:b/>
          <w:bCs/>
          <w:sz w:val="24"/>
          <w:szCs w:val="24"/>
        </w:rPr>
      </w:pPr>
    </w:p>
    <w:p w14:paraId="1F27579B" w14:textId="43C33D24" w:rsidR="007D064B" w:rsidRPr="00756375" w:rsidRDefault="007D064B" w:rsidP="007D064B">
      <w:pPr>
        <w:rPr>
          <w:b/>
          <w:bCs/>
          <w:sz w:val="24"/>
          <w:szCs w:val="24"/>
        </w:rPr>
      </w:pPr>
      <w:r w:rsidRPr="00756375">
        <w:rPr>
          <w:b/>
          <w:bCs/>
          <w:sz w:val="24"/>
          <w:szCs w:val="24"/>
        </w:rPr>
        <w:t>Enhancement of Efficiency through Technology Upgrades</w:t>
      </w:r>
    </w:p>
    <w:p w14:paraId="4B8AA6BF" w14:textId="11D4F0F4" w:rsidR="00950CE4" w:rsidRPr="00756375" w:rsidRDefault="007D064B" w:rsidP="007D064B">
      <w:pPr>
        <w:rPr>
          <w:sz w:val="24"/>
          <w:szCs w:val="24"/>
        </w:rPr>
      </w:pPr>
      <w:r w:rsidRPr="00756375">
        <w:rPr>
          <w:sz w:val="24"/>
          <w:szCs w:val="24"/>
        </w:rPr>
        <w:t xml:space="preserve">Since the last comprehensive peer review, Taft College </w:t>
      </w:r>
      <w:r w:rsidR="005103A3" w:rsidRPr="00756375">
        <w:rPr>
          <w:sz w:val="24"/>
          <w:szCs w:val="24"/>
        </w:rPr>
        <w:t>has undertaken substantial efforts to strengthen</w:t>
      </w:r>
      <w:r w:rsidRPr="00756375">
        <w:rPr>
          <w:sz w:val="24"/>
          <w:szCs w:val="24"/>
        </w:rPr>
        <w:t xml:space="preserve"> its technological infrastructure to support equitable student outcomes and improve </w:t>
      </w:r>
      <w:bookmarkStart w:id="6" w:name="_Hlk208934493"/>
      <w:r w:rsidRPr="00756375">
        <w:rPr>
          <w:sz w:val="24"/>
          <w:szCs w:val="24"/>
        </w:rPr>
        <w:lastRenderedPageBreak/>
        <w:t xml:space="preserve">overall campus operations. A key initiative has been the implementation of a </w:t>
      </w:r>
      <w:r w:rsidR="00511488">
        <w:rPr>
          <w:sz w:val="24"/>
          <w:szCs w:val="24"/>
        </w:rPr>
        <w:t xml:space="preserve">digital </w:t>
      </w:r>
      <w:bookmarkStart w:id="7" w:name="_Hlk208934477"/>
      <w:r w:rsidR="00511488">
        <w:rPr>
          <w:sz w:val="24"/>
          <w:szCs w:val="24"/>
        </w:rPr>
        <w:t xml:space="preserve">communication </w:t>
      </w:r>
      <w:r w:rsidRPr="00756375">
        <w:rPr>
          <w:sz w:val="24"/>
          <w:szCs w:val="24"/>
        </w:rPr>
        <w:t xml:space="preserve"> system</w:t>
      </w:r>
      <w:r w:rsidR="00511488">
        <w:rPr>
          <w:sz w:val="24"/>
          <w:szCs w:val="24"/>
        </w:rPr>
        <w:t>, Diligent, for use by our Board of Trustees</w:t>
      </w:r>
      <w:bookmarkEnd w:id="7"/>
      <w:r w:rsidR="00511488">
        <w:rPr>
          <w:sz w:val="24"/>
          <w:szCs w:val="24"/>
        </w:rPr>
        <w:t xml:space="preserve"> </w:t>
      </w:r>
      <w:r w:rsidR="00770C19" w:rsidRPr="00756375">
        <w:rPr>
          <w:sz w:val="24"/>
          <w:szCs w:val="24"/>
        </w:rPr>
        <w:t>(</w:t>
      </w:r>
      <w:hyperlink r:id="rId20" w:history="1">
        <w:r w:rsidR="00770C19" w:rsidRPr="00756375">
          <w:rPr>
            <w:rStyle w:val="Hyperlink"/>
            <w:sz w:val="24"/>
            <w:szCs w:val="24"/>
          </w:rPr>
          <w:t>Digital Board system Portal</w:t>
        </w:r>
      </w:hyperlink>
      <w:r w:rsidR="00770C19" w:rsidRPr="00756375">
        <w:rPr>
          <w:sz w:val="24"/>
          <w:szCs w:val="24"/>
        </w:rPr>
        <w:t>)</w:t>
      </w:r>
      <w:r w:rsidRPr="00756375">
        <w:rPr>
          <w:sz w:val="24"/>
          <w:szCs w:val="24"/>
        </w:rPr>
        <w:t>, which streamlines communication, reduces paper usage, and improves information sharing in real-time. Additionally, the College has upgraded all classroom computers</w:t>
      </w:r>
      <w:r w:rsidR="00770C19" w:rsidRPr="00756375">
        <w:rPr>
          <w:sz w:val="24"/>
          <w:szCs w:val="24"/>
        </w:rPr>
        <w:t xml:space="preserve"> (</w:t>
      </w:r>
      <w:hyperlink r:id="rId21" w:history="1">
        <w:r w:rsidR="00980C13" w:rsidRPr="00756375">
          <w:rPr>
            <w:rStyle w:val="Hyperlink"/>
            <w:sz w:val="24"/>
            <w:szCs w:val="24"/>
          </w:rPr>
          <w:t>Board Agenda Page 13 - Classroom Computer Purchase</w:t>
        </w:r>
      </w:hyperlink>
      <w:r w:rsidR="00980C13" w:rsidRPr="00756375">
        <w:rPr>
          <w:sz w:val="24"/>
          <w:szCs w:val="24"/>
        </w:rPr>
        <w:t xml:space="preserve">) </w:t>
      </w:r>
      <w:r w:rsidRPr="00756375">
        <w:rPr>
          <w:sz w:val="24"/>
          <w:szCs w:val="24"/>
        </w:rPr>
        <w:t xml:space="preserve">, ensuring that students and faculty have access to modern, high-performance technology that supports a variety of academic needs. To further improve the learning experience, Taft College replaced all campus network switches </w:t>
      </w:r>
      <w:r w:rsidR="00770C19" w:rsidRPr="00756375">
        <w:rPr>
          <w:sz w:val="24"/>
          <w:szCs w:val="24"/>
        </w:rPr>
        <w:t>(</w:t>
      </w:r>
      <w:hyperlink r:id="rId22" w:history="1">
        <w:r w:rsidR="0084442B" w:rsidRPr="00756375">
          <w:rPr>
            <w:rStyle w:val="Hyperlink"/>
            <w:sz w:val="24"/>
            <w:szCs w:val="24"/>
          </w:rPr>
          <w:t>Board Memo Page 52 - Network Switch Replacement</w:t>
        </w:r>
      </w:hyperlink>
      <w:r w:rsidR="00770C19" w:rsidRPr="00756375">
        <w:rPr>
          <w:sz w:val="24"/>
          <w:szCs w:val="24"/>
        </w:rPr>
        <w:t>)</w:t>
      </w:r>
      <w:r w:rsidR="0084442B" w:rsidRPr="00756375">
        <w:rPr>
          <w:sz w:val="24"/>
          <w:szCs w:val="24"/>
        </w:rPr>
        <w:t xml:space="preserve"> and access points </w:t>
      </w:r>
      <w:hyperlink r:id="rId23" w:history="1">
        <w:r w:rsidR="0084442B" w:rsidRPr="00756375">
          <w:rPr>
            <w:rStyle w:val="Hyperlink"/>
            <w:sz w:val="24"/>
            <w:szCs w:val="24"/>
          </w:rPr>
          <w:t xml:space="preserve"> Board Memo Page 42 - Network Access Point Replacement</w:t>
        </w:r>
      </w:hyperlink>
      <w:r w:rsidRPr="00756375">
        <w:rPr>
          <w:sz w:val="24"/>
          <w:szCs w:val="24"/>
        </w:rPr>
        <w:t>, resulting in faster, more reliable internet connectivity across the campus. These technological improvements not only enhance the quality of education by providing students and faculty with the necessary tools to succeed but also contribute to a more efficient and equitable educational environment.</w:t>
      </w:r>
      <w:r w:rsidR="002B6EB1" w:rsidRPr="00756375">
        <w:rPr>
          <w:sz w:val="24"/>
          <w:szCs w:val="24"/>
        </w:rPr>
        <w:t xml:space="preserve"> Currently, a new five</w:t>
      </w:r>
      <w:r w:rsidR="00511488">
        <w:rPr>
          <w:sz w:val="24"/>
          <w:szCs w:val="24"/>
        </w:rPr>
        <w:t>-</w:t>
      </w:r>
      <w:r w:rsidR="002B6EB1" w:rsidRPr="00756375">
        <w:rPr>
          <w:sz w:val="24"/>
          <w:szCs w:val="24"/>
        </w:rPr>
        <w:t>year Technology Master Plan is in development (</w:t>
      </w:r>
      <w:hyperlink r:id="rId24" w:history="1">
        <w:r w:rsidR="002B6EB1" w:rsidRPr="00756375">
          <w:rPr>
            <w:rStyle w:val="Hyperlink"/>
            <w:sz w:val="24"/>
            <w:szCs w:val="24"/>
          </w:rPr>
          <w:t xml:space="preserve">Information Technology </w:t>
        </w:r>
        <w:r w:rsidR="0059477F" w:rsidRPr="00756375">
          <w:rPr>
            <w:rStyle w:val="Hyperlink"/>
            <w:sz w:val="24"/>
            <w:szCs w:val="24"/>
          </w:rPr>
          <w:t>C</w:t>
        </w:r>
        <w:r w:rsidR="002B6EB1" w:rsidRPr="00756375">
          <w:rPr>
            <w:rStyle w:val="Hyperlink"/>
            <w:sz w:val="24"/>
            <w:szCs w:val="24"/>
          </w:rPr>
          <w:t>ommittee</w:t>
        </w:r>
        <w:r w:rsidR="0059477F" w:rsidRPr="00756375">
          <w:rPr>
            <w:rStyle w:val="Hyperlink"/>
            <w:sz w:val="24"/>
            <w:szCs w:val="24"/>
          </w:rPr>
          <w:t xml:space="preserve"> </w:t>
        </w:r>
        <w:r w:rsidR="002B6EB1" w:rsidRPr="00756375">
          <w:rPr>
            <w:rStyle w:val="Hyperlink"/>
            <w:sz w:val="24"/>
            <w:szCs w:val="24"/>
          </w:rPr>
          <w:t>Minutes: Technology Strategic Plan Discussion</w:t>
        </w:r>
      </w:hyperlink>
      <w:r w:rsidR="002B6EB1" w:rsidRPr="00756375">
        <w:rPr>
          <w:sz w:val="24"/>
          <w:szCs w:val="24"/>
        </w:rPr>
        <w:t>), with a focus on enhancing cybersecurity and improving digital accessibility. These continued improvements support student success, improve operational efficiency, and help advance the College’s mission to provide high-quality, accessible education.</w:t>
      </w:r>
    </w:p>
    <w:bookmarkEnd w:id="6"/>
    <w:p w14:paraId="37C26BF3" w14:textId="77777777" w:rsidR="007D064B" w:rsidRPr="00756375" w:rsidRDefault="007D064B" w:rsidP="007D064B">
      <w:pPr>
        <w:rPr>
          <w:sz w:val="24"/>
          <w:szCs w:val="24"/>
          <w:highlight w:val="lightGray"/>
        </w:rPr>
      </w:pPr>
    </w:p>
    <w:p w14:paraId="18FB2E49" w14:textId="28F2E238" w:rsidR="00517188" w:rsidRPr="00756375" w:rsidRDefault="00B868CE" w:rsidP="00437B01">
      <w:pPr>
        <w:ind w:left="360" w:hanging="360"/>
        <w:rPr>
          <w:sz w:val="24"/>
          <w:szCs w:val="24"/>
        </w:rPr>
      </w:pPr>
      <w:r w:rsidRPr="00756375">
        <w:rPr>
          <w:b/>
          <w:bCs/>
          <w:sz w:val="24"/>
          <w:szCs w:val="24"/>
        </w:rPr>
        <w:t>2.</w:t>
      </w:r>
      <w:r w:rsidRPr="00756375">
        <w:rPr>
          <w:b/>
          <w:bCs/>
          <w:sz w:val="24"/>
          <w:szCs w:val="24"/>
        </w:rPr>
        <w:tab/>
      </w:r>
      <w:r w:rsidR="008109ED" w:rsidRPr="00756375">
        <w:rPr>
          <w:b/>
          <w:bCs/>
          <w:sz w:val="24"/>
          <w:szCs w:val="24"/>
        </w:rPr>
        <w:t>Briefly d</w:t>
      </w:r>
      <w:r w:rsidRPr="00756375">
        <w:rPr>
          <w:b/>
          <w:bCs/>
          <w:sz w:val="24"/>
          <w:szCs w:val="24"/>
        </w:rPr>
        <w:t xml:space="preserve">escribe actions taken in response to any recommendations for improving institutional effectiveness </w:t>
      </w:r>
      <w:r w:rsidR="001D5059" w:rsidRPr="00756375">
        <w:rPr>
          <w:b/>
          <w:bCs/>
          <w:sz w:val="24"/>
          <w:szCs w:val="24"/>
        </w:rPr>
        <w:t xml:space="preserve">or feedback </w:t>
      </w:r>
      <w:r w:rsidR="00634D75" w:rsidRPr="00756375">
        <w:rPr>
          <w:b/>
          <w:bCs/>
          <w:sz w:val="24"/>
          <w:szCs w:val="24"/>
        </w:rPr>
        <w:t xml:space="preserve">noted in the Peer Review Team Report for </w:t>
      </w:r>
      <w:r w:rsidRPr="00756375">
        <w:rPr>
          <w:b/>
          <w:bCs/>
          <w:sz w:val="24"/>
          <w:szCs w:val="24"/>
        </w:rPr>
        <w:t xml:space="preserve">the last comprehensive peer review. </w:t>
      </w:r>
    </w:p>
    <w:p w14:paraId="75666F53" w14:textId="77777777" w:rsidR="00BE1F91" w:rsidRPr="00756375" w:rsidRDefault="00BE1F91" w:rsidP="00437B01">
      <w:pPr>
        <w:rPr>
          <w:sz w:val="24"/>
          <w:szCs w:val="24"/>
        </w:rPr>
      </w:pPr>
    </w:p>
    <w:p w14:paraId="63703C06" w14:textId="18280023" w:rsidR="00551D6E" w:rsidRPr="00756375" w:rsidRDefault="00454C65" w:rsidP="00551D6E">
      <w:pPr>
        <w:rPr>
          <w:sz w:val="24"/>
          <w:szCs w:val="24"/>
        </w:rPr>
      </w:pPr>
      <w:r w:rsidRPr="00756375">
        <w:rPr>
          <w:sz w:val="24"/>
          <w:szCs w:val="24"/>
        </w:rPr>
        <w:t>In the most recent comprehensive peer review, Taft College did not receive formal recommendations related to institutional effectiveness. However, the College remains deeply committed to continuous self-assessment and improvement. Reflecting this commitment, Taft College proactively identified opportunities for growth and implemented focused actions in response.</w:t>
      </w:r>
    </w:p>
    <w:p w14:paraId="013E738F" w14:textId="77777777" w:rsidR="00454C65" w:rsidRPr="00756375" w:rsidRDefault="00454C65" w:rsidP="00551D6E">
      <w:pPr>
        <w:rPr>
          <w:sz w:val="24"/>
          <w:szCs w:val="24"/>
        </w:rPr>
      </w:pPr>
    </w:p>
    <w:p w14:paraId="3CA6D0ED" w14:textId="526717D7" w:rsidR="00376860" w:rsidRPr="00756375" w:rsidRDefault="00376860" w:rsidP="00454C65">
      <w:pPr>
        <w:rPr>
          <w:sz w:val="24"/>
          <w:szCs w:val="24"/>
        </w:rPr>
      </w:pPr>
      <w:r w:rsidRPr="00756375">
        <w:rPr>
          <w:sz w:val="24"/>
          <w:szCs w:val="24"/>
        </w:rPr>
        <w:t>One major action has been the revision of the program review process</w:t>
      </w:r>
      <w:r w:rsidR="00FC7739" w:rsidRPr="00756375">
        <w:rPr>
          <w:sz w:val="24"/>
          <w:szCs w:val="24"/>
        </w:rPr>
        <w:t xml:space="preserve">. </w:t>
      </w:r>
      <w:r w:rsidRPr="00756375">
        <w:rPr>
          <w:sz w:val="24"/>
          <w:szCs w:val="24"/>
        </w:rPr>
        <w:t>Based on internal feedback and strategic planning discussions, the College shifted from an annual review cycle to a more comprehensive three-year cycle. This change, piloted in 2022–23 and fully adopted by 2025–26, was endorsed by the Strategic Planning Committee</w:t>
      </w:r>
      <w:r w:rsidR="00FC7739" w:rsidRPr="00756375">
        <w:rPr>
          <w:sz w:val="24"/>
          <w:szCs w:val="24"/>
        </w:rPr>
        <w:t xml:space="preserve"> (</w:t>
      </w:r>
      <w:hyperlink r:id="rId25" w:history="1">
        <w:r w:rsidR="00FC7739" w:rsidRPr="00756375">
          <w:rPr>
            <w:rStyle w:val="Hyperlink"/>
            <w:sz w:val="24"/>
            <w:szCs w:val="24"/>
          </w:rPr>
          <w:t>Strategic Planning Committee Minutes: Strengthening the Comprehensive Program Review Process</w:t>
        </w:r>
      </w:hyperlink>
      <w:r w:rsidR="00FC7739" w:rsidRPr="00756375">
        <w:rPr>
          <w:sz w:val="24"/>
          <w:szCs w:val="24"/>
        </w:rPr>
        <w:t>)</w:t>
      </w:r>
      <w:r w:rsidRPr="00756375">
        <w:rPr>
          <w:sz w:val="24"/>
          <w:szCs w:val="24"/>
        </w:rPr>
        <w:t>, Academic Senate</w:t>
      </w:r>
      <w:r w:rsidR="00FC7739" w:rsidRPr="00756375">
        <w:rPr>
          <w:sz w:val="24"/>
          <w:szCs w:val="24"/>
        </w:rPr>
        <w:t xml:space="preserve"> (</w:t>
      </w:r>
      <w:hyperlink r:id="rId26" w:history="1">
        <w:r w:rsidR="000B7A54" w:rsidRPr="00756375">
          <w:rPr>
            <w:rStyle w:val="Hyperlink"/>
            <w:sz w:val="24"/>
            <w:szCs w:val="24"/>
          </w:rPr>
          <w:t>Academic Senate Minutes: Approval of Comprehensive Program Review New Process</w:t>
        </w:r>
      </w:hyperlink>
      <w:r w:rsidR="00FC7739" w:rsidRPr="00756375">
        <w:rPr>
          <w:sz w:val="24"/>
          <w:szCs w:val="24"/>
        </w:rPr>
        <w:t>)</w:t>
      </w:r>
      <w:r w:rsidRPr="00756375">
        <w:rPr>
          <w:sz w:val="24"/>
          <w:szCs w:val="24"/>
        </w:rPr>
        <w:t>, and Governance Council</w:t>
      </w:r>
      <w:r w:rsidR="00FC7739" w:rsidRPr="00756375">
        <w:rPr>
          <w:sz w:val="24"/>
          <w:szCs w:val="24"/>
        </w:rPr>
        <w:t xml:space="preserve"> (</w:t>
      </w:r>
      <w:hyperlink r:id="rId27" w:history="1">
        <w:r w:rsidR="00FC7739" w:rsidRPr="00756375">
          <w:rPr>
            <w:rStyle w:val="Hyperlink"/>
            <w:sz w:val="24"/>
            <w:szCs w:val="24"/>
          </w:rPr>
          <w:t>Governance Council Minutes:  Approval of Comprehensive Program Review New Process</w:t>
        </w:r>
      </w:hyperlink>
      <w:r w:rsidR="00FC7739" w:rsidRPr="00756375">
        <w:rPr>
          <w:sz w:val="24"/>
          <w:szCs w:val="24"/>
        </w:rPr>
        <w:t xml:space="preserve">). </w:t>
      </w:r>
      <w:r w:rsidRPr="00756375">
        <w:rPr>
          <w:sz w:val="24"/>
          <w:szCs w:val="24"/>
        </w:rPr>
        <w:t>It is designed to promote long-term planning, better alignment with strategic goals, and more meaningful assessment of academic and service programs.</w:t>
      </w:r>
    </w:p>
    <w:p w14:paraId="20DA7932" w14:textId="77777777" w:rsidR="00376860" w:rsidRPr="00756375" w:rsidRDefault="00376860" w:rsidP="00454C65">
      <w:pPr>
        <w:rPr>
          <w:sz w:val="24"/>
          <w:szCs w:val="24"/>
        </w:rPr>
      </w:pPr>
    </w:p>
    <w:p w14:paraId="268A59F3" w14:textId="05531897" w:rsidR="00376860" w:rsidRPr="00756375" w:rsidRDefault="00376860" w:rsidP="00454C65">
      <w:pPr>
        <w:rPr>
          <w:sz w:val="24"/>
          <w:szCs w:val="24"/>
        </w:rPr>
      </w:pPr>
      <w:r w:rsidRPr="00756375">
        <w:rPr>
          <w:sz w:val="24"/>
          <w:szCs w:val="24"/>
        </w:rPr>
        <w:t xml:space="preserve">The revised process also introduced structured two-way communication between </w:t>
      </w:r>
      <w:r w:rsidR="005F4973" w:rsidRPr="00756375">
        <w:rPr>
          <w:sz w:val="24"/>
          <w:szCs w:val="24"/>
        </w:rPr>
        <w:t xml:space="preserve">program review </w:t>
      </w:r>
      <w:r w:rsidRPr="00756375">
        <w:rPr>
          <w:sz w:val="24"/>
          <w:szCs w:val="24"/>
        </w:rPr>
        <w:t>faculty leads and College leadership. While still being fully implemented, the new structure encourages dialogue by creating opportunities for faculty to share program accomplishments, justify resource needs, and propose initiatives. In response, area Vice Presidents or Division Chairs provide formal feedback, helping align program goals with institutional priorities. This approach promotes transparency, shared responsibility, and more informed decision-making to support student success and continuous improvement.</w:t>
      </w:r>
    </w:p>
    <w:p w14:paraId="397E18B3" w14:textId="77777777" w:rsidR="006D4136" w:rsidRPr="00756375" w:rsidRDefault="006D4136" w:rsidP="006560E5">
      <w:pPr>
        <w:rPr>
          <w:sz w:val="24"/>
          <w:szCs w:val="24"/>
        </w:rPr>
      </w:pPr>
    </w:p>
    <w:p w14:paraId="5F3C0C13" w14:textId="77777777" w:rsidR="00517188" w:rsidRPr="00756375" w:rsidRDefault="008109ED" w:rsidP="00517188">
      <w:pPr>
        <w:ind w:left="360" w:hanging="360"/>
        <w:rPr>
          <w:sz w:val="24"/>
          <w:szCs w:val="24"/>
        </w:rPr>
      </w:pPr>
      <w:r w:rsidRPr="00756375">
        <w:rPr>
          <w:b/>
          <w:bCs/>
          <w:sz w:val="24"/>
          <w:szCs w:val="24"/>
        </w:rPr>
        <w:t>3</w:t>
      </w:r>
      <w:r w:rsidRPr="00756375">
        <w:rPr>
          <w:sz w:val="24"/>
          <w:szCs w:val="24"/>
        </w:rPr>
        <w:t>.</w:t>
      </w:r>
      <w:r w:rsidRPr="00756375">
        <w:rPr>
          <w:sz w:val="24"/>
          <w:szCs w:val="24"/>
        </w:rPr>
        <w:tab/>
      </w:r>
      <w:r w:rsidRPr="00756375">
        <w:rPr>
          <w:b/>
          <w:bCs/>
          <w:sz w:val="24"/>
          <w:szCs w:val="24"/>
        </w:rPr>
        <w:t xml:space="preserve">How are the actions described above helping your institution deepen its practices for continuous improvement and transformation in relation to the </w:t>
      </w:r>
      <w:r w:rsidR="00634D75" w:rsidRPr="00756375">
        <w:rPr>
          <w:b/>
          <w:bCs/>
          <w:sz w:val="24"/>
          <w:szCs w:val="24"/>
        </w:rPr>
        <w:t xml:space="preserve">2024 </w:t>
      </w:r>
      <w:r w:rsidRPr="00756375">
        <w:rPr>
          <w:b/>
          <w:bCs/>
          <w:sz w:val="24"/>
          <w:szCs w:val="24"/>
        </w:rPr>
        <w:t>Accreditation Standards?</w:t>
      </w:r>
    </w:p>
    <w:p w14:paraId="7D4B3804" w14:textId="2147E398" w:rsidR="0055112B" w:rsidRPr="00756375" w:rsidRDefault="0055112B" w:rsidP="00D47C67">
      <w:pPr>
        <w:rPr>
          <w:color w:val="FF0000"/>
          <w:w w:val="95"/>
          <w:sz w:val="24"/>
          <w:szCs w:val="24"/>
        </w:rPr>
      </w:pPr>
    </w:p>
    <w:p w14:paraId="140162D2" w14:textId="0D962672" w:rsidR="00376860" w:rsidRPr="00756375" w:rsidRDefault="00376860" w:rsidP="00376860">
      <w:pPr>
        <w:rPr>
          <w:sz w:val="24"/>
          <w:szCs w:val="24"/>
        </w:rPr>
      </w:pPr>
      <w:r w:rsidRPr="00756375">
        <w:rPr>
          <w:sz w:val="24"/>
          <w:szCs w:val="24"/>
        </w:rPr>
        <w:t>Taft College’s shift to a three-year comprehensive program review cycle has strengthened its ability to engage in long-term, reflective planning and align program goals with institutional priorities—key principles emphasized in the 2024 Accreditation Standards. This change encourages faculty and staff to evaluate trends over time, use disaggregated data to assess student outcomes, and focus on sustained improvements rather than short-term fixes.</w:t>
      </w:r>
    </w:p>
    <w:p w14:paraId="3E9166C9" w14:textId="77777777" w:rsidR="00376860" w:rsidRPr="00756375" w:rsidRDefault="00376860" w:rsidP="00376860">
      <w:pPr>
        <w:rPr>
          <w:sz w:val="24"/>
          <w:szCs w:val="24"/>
        </w:rPr>
      </w:pPr>
    </w:p>
    <w:p w14:paraId="21CA1AB0" w14:textId="1438C1B9" w:rsidR="00376860" w:rsidRPr="00756375" w:rsidRDefault="00376860" w:rsidP="00376860">
      <w:pPr>
        <w:rPr>
          <w:sz w:val="24"/>
          <w:szCs w:val="24"/>
        </w:rPr>
      </w:pPr>
      <w:r w:rsidRPr="00756375">
        <w:rPr>
          <w:sz w:val="24"/>
          <w:szCs w:val="24"/>
        </w:rPr>
        <w:t>By shifting from an annual to a three-year comprehensive program review cycle, the College has created a more reflective and strategic approach to evaluation. This longer cycle allows academic and service programs to analyze multi-year trends in enrollment, success rates, resource use, and program impact, rather than reacting to short-term fluctuations. Programs are encouraged to assess progress toward long-term goals, identify systemic challenges, and develop actionable strategies that are aligned with both divisional and institutional priorities. This extended timeline not only increases the quality and depth of reflection but also strengthens the connection between program-level planning and institutional resource allocation.</w:t>
      </w:r>
    </w:p>
    <w:p w14:paraId="07F5E9A3" w14:textId="77777777" w:rsidR="008D0E1B" w:rsidRPr="00756375" w:rsidRDefault="008D0E1B" w:rsidP="008D0E1B">
      <w:pPr>
        <w:rPr>
          <w:sz w:val="24"/>
          <w:szCs w:val="24"/>
        </w:rPr>
      </w:pPr>
    </w:p>
    <w:p w14:paraId="39CD0B70" w14:textId="5014D4AB" w:rsidR="00514FB2" w:rsidRPr="00756375" w:rsidRDefault="008D0E1B" w:rsidP="008D0E1B">
      <w:pPr>
        <w:rPr>
          <w:sz w:val="24"/>
          <w:szCs w:val="24"/>
        </w:rPr>
      </w:pPr>
      <w:r w:rsidRPr="00756375">
        <w:rPr>
          <w:sz w:val="24"/>
          <w:szCs w:val="24"/>
        </w:rPr>
        <w:t>By embedding program review into broader planning and budgeting processes, Taft College is fostering a culture of evidence-based decision-making and continuous improvement. These practices support institutional transformation by ensuring the College remains responsive to evolving student needs, equity goals, and workforce demands—core elements of the 2024 Accreditation Standards.</w:t>
      </w:r>
    </w:p>
    <w:p w14:paraId="070D96B8" w14:textId="77777777" w:rsidR="00514FB2" w:rsidRPr="00756375" w:rsidRDefault="00514FB2" w:rsidP="008D0E1B">
      <w:pPr>
        <w:rPr>
          <w:sz w:val="24"/>
          <w:szCs w:val="24"/>
        </w:rPr>
      </w:pPr>
    </w:p>
    <w:p w14:paraId="62086702" w14:textId="0449CBA4" w:rsidR="00527EB7" w:rsidRPr="00756375" w:rsidRDefault="0038790E" w:rsidP="00610DE9">
      <w:pPr>
        <w:pStyle w:val="Heading1"/>
        <w:rPr>
          <w:sz w:val="24"/>
          <w:szCs w:val="24"/>
        </w:rPr>
      </w:pPr>
      <w:bookmarkStart w:id="8" w:name="_Toc156943181"/>
      <w:r w:rsidRPr="00756375">
        <w:rPr>
          <w:sz w:val="24"/>
          <w:szCs w:val="24"/>
        </w:rPr>
        <w:t xml:space="preserve">Reflections on </w:t>
      </w:r>
      <w:r w:rsidRPr="00756375">
        <w:rPr>
          <w:rStyle w:val="normaltextrun"/>
          <w:rFonts w:cs="Calibri"/>
          <w:bCs/>
          <w:color w:val="000000" w:themeColor="text1"/>
          <w:sz w:val="24"/>
          <w:szCs w:val="24"/>
          <w:shd w:val="clear" w:color="auto" w:fill="FFFFFF"/>
        </w:rPr>
        <w:t>Institution-Set Standards and Other Metrics of Student Achievement</w:t>
      </w:r>
      <w:bookmarkEnd w:id="8"/>
    </w:p>
    <w:p w14:paraId="455D953F" w14:textId="223C7463" w:rsidR="00530C9A" w:rsidRPr="00756375" w:rsidRDefault="00B23B25" w:rsidP="0038790E">
      <w:pPr>
        <w:rPr>
          <w:sz w:val="24"/>
          <w:szCs w:val="24"/>
        </w:rPr>
      </w:pPr>
      <w:r w:rsidRPr="00756375">
        <w:rPr>
          <w:sz w:val="24"/>
          <w:szCs w:val="24"/>
        </w:rPr>
        <w:t>Provide a brief response to each question below</w:t>
      </w:r>
      <w:r w:rsidR="007D4570" w:rsidRPr="00756375">
        <w:rPr>
          <w:sz w:val="24"/>
          <w:szCs w:val="24"/>
        </w:rPr>
        <w:t>, referring to Standards 1.3 and 2.9 for additional context</w:t>
      </w:r>
      <w:r w:rsidRPr="00756375">
        <w:rPr>
          <w:sz w:val="24"/>
          <w:szCs w:val="24"/>
        </w:rPr>
        <w:t>. You may insert graphs, charts, or other similar visuals</w:t>
      </w:r>
      <w:r w:rsidR="008109ED" w:rsidRPr="00756375">
        <w:rPr>
          <w:sz w:val="24"/>
          <w:szCs w:val="24"/>
        </w:rPr>
        <w:t xml:space="preserve"> </w:t>
      </w:r>
      <w:r w:rsidR="00B001FD" w:rsidRPr="00756375">
        <w:rPr>
          <w:sz w:val="24"/>
          <w:szCs w:val="24"/>
        </w:rPr>
        <w:t xml:space="preserve">as needed to support your narrative. </w:t>
      </w:r>
      <w:r w:rsidR="007D4570" w:rsidRPr="00756375">
        <w:rPr>
          <w:sz w:val="24"/>
          <w:szCs w:val="24"/>
        </w:rPr>
        <w:t>S</w:t>
      </w:r>
      <w:r w:rsidR="008109ED" w:rsidRPr="00756375">
        <w:rPr>
          <w:sz w:val="24"/>
          <w:szCs w:val="24"/>
        </w:rPr>
        <w:t>uggested</w:t>
      </w:r>
      <w:r w:rsidR="00300A99" w:rsidRPr="00756375">
        <w:rPr>
          <w:sz w:val="24"/>
          <w:szCs w:val="24"/>
        </w:rPr>
        <w:t xml:space="preserve"> </w:t>
      </w:r>
      <w:r w:rsidR="008109ED" w:rsidRPr="00756375">
        <w:rPr>
          <w:sz w:val="24"/>
          <w:szCs w:val="24"/>
        </w:rPr>
        <w:t xml:space="preserve">length for </w:t>
      </w:r>
      <w:r w:rsidR="007D4570" w:rsidRPr="00756375">
        <w:rPr>
          <w:sz w:val="24"/>
          <w:szCs w:val="24"/>
        </w:rPr>
        <w:t xml:space="preserve">Section B (not counting any visuals) is 3 pages. </w:t>
      </w:r>
    </w:p>
    <w:p w14:paraId="272884D3" w14:textId="77777777" w:rsidR="008109ED" w:rsidRPr="00756375" w:rsidRDefault="008109ED" w:rsidP="0038790E">
      <w:pPr>
        <w:rPr>
          <w:sz w:val="24"/>
          <w:szCs w:val="24"/>
        </w:rPr>
      </w:pPr>
    </w:p>
    <w:p w14:paraId="0A1D675E" w14:textId="2F080744" w:rsidR="00B23B25" w:rsidRPr="00756375" w:rsidRDefault="00B23B25" w:rsidP="0038790E">
      <w:pPr>
        <w:pStyle w:val="ListParagraph"/>
        <w:numPr>
          <w:ilvl w:val="0"/>
          <w:numId w:val="37"/>
        </w:numPr>
        <w:ind w:left="360"/>
        <w:rPr>
          <w:b/>
          <w:bCs/>
          <w:sz w:val="24"/>
          <w:szCs w:val="24"/>
        </w:rPr>
      </w:pPr>
      <w:r w:rsidRPr="00756375">
        <w:rPr>
          <w:b/>
          <w:bCs/>
          <w:sz w:val="24"/>
          <w:szCs w:val="24"/>
        </w:rPr>
        <w:t xml:space="preserve">Review the most recent ACCJC Annual Report and other meaningful metrics of student achievement. </w:t>
      </w:r>
      <w:r w:rsidR="0013512B" w:rsidRPr="00756375">
        <w:rPr>
          <w:b/>
          <w:bCs/>
          <w:sz w:val="24"/>
          <w:szCs w:val="24"/>
        </w:rPr>
        <w:t xml:space="preserve">Has the institution met its floor standards? Exceeded its stretch goals? </w:t>
      </w:r>
      <w:r w:rsidR="00225A3A" w:rsidRPr="00756375">
        <w:rPr>
          <w:b/>
          <w:bCs/>
          <w:sz w:val="24"/>
          <w:szCs w:val="24"/>
        </w:rPr>
        <w:t>Describe any patterns or trends you see in performance against your institution-set standards and other metrics of student achievement.</w:t>
      </w:r>
    </w:p>
    <w:p w14:paraId="4281F660" w14:textId="77777777" w:rsidR="00752EE2" w:rsidRPr="00756375" w:rsidRDefault="00752EE2" w:rsidP="00752EE2">
      <w:pPr>
        <w:rPr>
          <w:b/>
          <w:bCs/>
          <w:sz w:val="24"/>
          <w:szCs w:val="24"/>
        </w:rPr>
      </w:pPr>
    </w:p>
    <w:p w14:paraId="0BD4CA1E" w14:textId="41204907" w:rsidR="008671CD" w:rsidRPr="00756375" w:rsidRDefault="00513A02" w:rsidP="00752EE2">
      <w:pPr>
        <w:rPr>
          <w:sz w:val="24"/>
          <w:szCs w:val="24"/>
        </w:rPr>
      </w:pPr>
      <w:r w:rsidRPr="00756375">
        <w:rPr>
          <w:sz w:val="24"/>
          <w:szCs w:val="24"/>
        </w:rPr>
        <w:t>Taft College established its Institutional Set Standards (ISS) baseline floor and stretch goals over a decade ago as part of its ongoing commitment to student achievement and institutional effectiveness. Each year, the Strategic Planning Committee (SPC) conducts a comprehensive review of the data from the previous seven years</w:t>
      </w:r>
      <w:r w:rsidR="00953843" w:rsidRPr="00756375">
        <w:rPr>
          <w:sz w:val="24"/>
          <w:szCs w:val="24"/>
        </w:rPr>
        <w:t xml:space="preserve"> (</w:t>
      </w:r>
      <w:hyperlink r:id="rId28" w:history="1">
        <w:r w:rsidR="00953843" w:rsidRPr="00756375">
          <w:rPr>
            <w:rStyle w:val="Hyperlink"/>
            <w:sz w:val="24"/>
            <w:szCs w:val="24"/>
          </w:rPr>
          <w:t>Strategic Planning Committee Minutes: New ISS Goal Proposal Discussion</w:t>
        </w:r>
      </w:hyperlink>
      <w:r w:rsidR="00953843" w:rsidRPr="00756375">
        <w:rPr>
          <w:sz w:val="24"/>
          <w:szCs w:val="24"/>
        </w:rPr>
        <w:t>)</w:t>
      </w:r>
      <w:r w:rsidRPr="00756375">
        <w:rPr>
          <w:sz w:val="24"/>
          <w:szCs w:val="24"/>
        </w:rPr>
        <w:t>. Below is a sample from this year’s review.</w:t>
      </w:r>
    </w:p>
    <w:p w14:paraId="7F6B8DEE" w14:textId="77777777" w:rsidR="00950CE4" w:rsidRPr="00756375" w:rsidRDefault="00950CE4" w:rsidP="00752EE2">
      <w:pPr>
        <w:rPr>
          <w:noProof/>
          <w:sz w:val="24"/>
          <w:szCs w:val="24"/>
        </w:rPr>
      </w:pPr>
    </w:p>
    <w:p w14:paraId="76FE50DF" w14:textId="3B6EF77F" w:rsidR="000B2E32" w:rsidRPr="00756375" w:rsidRDefault="000B2E32" w:rsidP="00752EE2">
      <w:pPr>
        <w:rPr>
          <w:sz w:val="24"/>
          <w:szCs w:val="24"/>
        </w:rPr>
      </w:pPr>
      <w:r w:rsidRPr="00756375">
        <w:rPr>
          <w:noProof/>
          <w:sz w:val="24"/>
          <w:szCs w:val="24"/>
        </w:rPr>
        <w:lastRenderedPageBreak/>
        <w:drawing>
          <wp:inline distT="0" distB="0" distL="0" distR="0" wp14:anchorId="2B199689" wp14:editId="256D9691">
            <wp:extent cx="6600825" cy="4076700"/>
            <wp:effectExtent l="0" t="0" r="9525" b="0"/>
            <wp:docPr id="1480660084"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60084" name="Picture 1" descr="A screenshot of a spreadsheet&#10;&#10;AI-generated content may be incorrect."/>
                    <pic:cNvPicPr/>
                  </pic:nvPicPr>
                  <pic:blipFill>
                    <a:blip r:embed="rId29"/>
                    <a:stretch>
                      <a:fillRect/>
                    </a:stretch>
                  </pic:blipFill>
                  <pic:spPr>
                    <a:xfrm>
                      <a:off x="0" y="0"/>
                      <a:ext cx="6600825" cy="4076700"/>
                    </a:xfrm>
                    <a:prstGeom prst="rect">
                      <a:avLst/>
                    </a:prstGeom>
                  </pic:spPr>
                </pic:pic>
              </a:graphicData>
            </a:graphic>
          </wp:inline>
        </w:drawing>
      </w:r>
    </w:p>
    <w:p w14:paraId="4BA194C6" w14:textId="77777777" w:rsidR="00752EE2" w:rsidRPr="00756375" w:rsidRDefault="00752EE2" w:rsidP="00752EE2">
      <w:pPr>
        <w:rPr>
          <w:sz w:val="24"/>
          <w:szCs w:val="24"/>
        </w:rPr>
      </w:pPr>
    </w:p>
    <w:p w14:paraId="3DDE3AC2" w14:textId="77777777" w:rsidR="00950CE4" w:rsidRPr="00756375" w:rsidRDefault="00950CE4" w:rsidP="005F3D11">
      <w:pPr>
        <w:pStyle w:val="BodyText"/>
        <w:ind w:left="0" w:firstLine="0"/>
        <w:rPr>
          <w:b w:val="0"/>
          <w:sz w:val="24"/>
          <w:szCs w:val="24"/>
        </w:rPr>
      </w:pPr>
    </w:p>
    <w:p w14:paraId="1A958A07" w14:textId="77777777" w:rsidR="00950CE4" w:rsidRPr="00756375" w:rsidRDefault="00950CE4" w:rsidP="005F3D11">
      <w:pPr>
        <w:pStyle w:val="BodyText"/>
        <w:ind w:left="0" w:firstLine="0"/>
        <w:rPr>
          <w:b w:val="0"/>
          <w:sz w:val="24"/>
          <w:szCs w:val="24"/>
        </w:rPr>
      </w:pPr>
    </w:p>
    <w:p w14:paraId="2D1FA2D5" w14:textId="1180F076" w:rsidR="001F5678" w:rsidRPr="00756375" w:rsidRDefault="001F5678" w:rsidP="005F3D11">
      <w:pPr>
        <w:pStyle w:val="BodyText"/>
        <w:ind w:left="0" w:firstLine="0"/>
        <w:rPr>
          <w:b w:val="0"/>
          <w:sz w:val="24"/>
          <w:szCs w:val="24"/>
        </w:rPr>
      </w:pPr>
      <w:r w:rsidRPr="00756375">
        <w:rPr>
          <w:b w:val="0"/>
          <w:sz w:val="24"/>
          <w:szCs w:val="24"/>
        </w:rPr>
        <w:t>The SPC carefully analyzed each metric, comparing actual performance to the established floor and stretch goals to identify emerging trends, strengths, and areas for improvement. Notably, Taft College has consistently met or exceeded its institution-set floor standards in key metrics such as course completion rates, certificates, and associate degree awards, demonstrating a strong track record of student success.</w:t>
      </w:r>
    </w:p>
    <w:p w14:paraId="31B69661" w14:textId="77777777" w:rsidR="001F5678" w:rsidRPr="00756375" w:rsidRDefault="001F5678" w:rsidP="005F3D11">
      <w:pPr>
        <w:pStyle w:val="BodyText"/>
        <w:ind w:left="0" w:firstLine="0"/>
        <w:rPr>
          <w:b w:val="0"/>
          <w:sz w:val="24"/>
          <w:szCs w:val="24"/>
        </w:rPr>
      </w:pPr>
    </w:p>
    <w:p w14:paraId="401718BF" w14:textId="1281FCA6" w:rsidR="001F5678" w:rsidRPr="00756375" w:rsidRDefault="002F7D9D" w:rsidP="005F3D11">
      <w:pPr>
        <w:pStyle w:val="BodyText"/>
        <w:ind w:left="0" w:firstLine="0"/>
        <w:rPr>
          <w:b w:val="0"/>
          <w:sz w:val="24"/>
          <w:szCs w:val="24"/>
        </w:rPr>
      </w:pPr>
      <w:r w:rsidRPr="00756375">
        <w:rPr>
          <w:b w:val="0"/>
          <w:sz w:val="24"/>
          <w:szCs w:val="24"/>
        </w:rPr>
        <w:t>For example, Taft College has demonstrated consistent strength in key performance areas. Over the past six years, course completion rates have ranged from 68.6% to 72.1%, exceeding the floor goal of 66%. Similarly, the College has seen steady gains in certificate and associate degree awards, often meeting or surpassing stretch targets. One standout success is the Dental Hygiene program, which achieved a 100% pass rate on the licensing exam for the past two years—underscoring the effectiveness of its specialized training and academic preparation.</w:t>
      </w:r>
    </w:p>
    <w:p w14:paraId="0EB56DB8" w14:textId="77777777" w:rsidR="002F7D9D" w:rsidRPr="00756375" w:rsidRDefault="002F7D9D" w:rsidP="002F7D9D">
      <w:pPr>
        <w:rPr>
          <w:sz w:val="24"/>
          <w:szCs w:val="24"/>
        </w:rPr>
      </w:pPr>
    </w:p>
    <w:p w14:paraId="3029A02B" w14:textId="44C53AA8" w:rsidR="002B1FE3" w:rsidRPr="00756375" w:rsidRDefault="002B1FE3" w:rsidP="002B1FE3">
      <w:pPr>
        <w:pStyle w:val="BodyText"/>
        <w:ind w:left="0" w:firstLine="0"/>
        <w:rPr>
          <w:b w:val="0"/>
          <w:sz w:val="24"/>
          <w:szCs w:val="24"/>
        </w:rPr>
      </w:pPr>
      <w:r w:rsidRPr="00756375">
        <w:rPr>
          <w:b w:val="0"/>
          <w:sz w:val="24"/>
          <w:szCs w:val="24"/>
        </w:rPr>
        <w:t xml:space="preserve">While overall trends have been positive, the number of students transferring to four-year universities has presented a challenge over the past six years. Specifically, transfer goals were not met in two instances, largely due to significant enrollment declines during the 2020–21 academic year caused by the </w:t>
      </w:r>
      <w:r w:rsidR="000B2E32" w:rsidRPr="00756375">
        <w:rPr>
          <w:b w:val="0"/>
          <w:sz w:val="24"/>
          <w:szCs w:val="24"/>
        </w:rPr>
        <w:t>COVID-19</w:t>
      </w:r>
      <w:r w:rsidR="00950CE4" w:rsidRPr="00756375">
        <w:rPr>
          <w:b w:val="0"/>
          <w:sz w:val="24"/>
          <w:szCs w:val="24"/>
        </w:rPr>
        <w:t xml:space="preserve"> pandemic</w:t>
      </w:r>
      <w:r w:rsidRPr="00756375">
        <w:rPr>
          <w:b w:val="0"/>
          <w:sz w:val="24"/>
          <w:szCs w:val="24"/>
        </w:rPr>
        <w:t>. As a result, fewer students completed their community college coursework, leading to a decline in transfer numbers over the following two years. This external disruption had a notable impact on overall transfer outcomes.</w:t>
      </w:r>
    </w:p>
    <w:p w14:paraId="47F26D1C" w14:textId="77777777" w:rsidR="002B1FE3" w:rsidRPr="00756375" w:rsidRDefault="002B1FE3" w:rsidP="002B1FE3">
      <w:pPr>
        <w:pStyle w:val="BodyText"/>
        <w:rPr>
          <w:b w:val="0"/>
          <w:sz w:val="24"/>
          <w:szCs w:val="24"/>
        </w:rPr>
      </w:pPr>
    </w:p>
    <w:p w14:paraId="65588DE0" w14:textId="3A509CB2" w:rsidR="001F5678" w:rsidRPr="00756375" w:rsidRDefault="002B1FE3" w:rsidP="002B1FE3">
      <w:pPr>
        <w:pStyle w:val="BodyText"/>
        <w:ind w:left="0" w:firstLine="0"/>
        <w:rPr>
          <w:b w:val="0"/>
          <w:sz w:val="24"/>
          <w:szCs w:val="24"/>
        </w:rPr>
      </w:pPr>
      <w:r w:rsidRPr="00756375">
        <w:rPr>
          <w:b w:val="0"/>
          <w:sz w:val="24"/>
          <w:szCs w:val="24"/>
        </w:rPr>
        <w:t xml:space="preserve">In response, the College has proactively implemented strategies to increase the number of students transferring. These efforts include expanding transfer pathways, enhancing counseling services, </w:t>
      </w:r>
      <w:r w:rsidRPr="00756375">
        <w:rPr>
          <w:b w:val="0"/>
          <w:sz w:val="24"/>
          <w:szCs w:val="24"/>
        </w:rPr>
        <w:lastRenderedPageBreak/>
        <w:t>conducting targeted outreach to students who have completed 40 units but not yet earned their transfer degrees, and strengthening collaborations with four-year institutions. Additionally, the College is investigating other contributing factors to ensure its transfer initiatives are data-informed and sustainable.</w:t>
      </w:r>
    </w:p>
    <w:p w14:paraId="048D827E" w14:textId="77777777" w:rsidR="001F5678" w:rsidRPr="00756375" w:rsidRDefault="001F5678" w:rsidP="005F3D11">
      <w:pPr>
        <w:pStyle w:val="BodyText"/>
        <w:ind w:left="0" w:firstLine="0"/>
        <w:rPr>
          <w:b w:val="0"/>
          <w:sz w:val="24"/>
          <w:szCs w:val="24"/>
        </w:rPr>
      </w:pPr>
    </w:p>
    <w:p w14:paraId="402866C7" w14:textId="414031CC" w:rsidR="001F5678" w:rsidRPr="00756375" w:rsidRDefault="002F7D9D" w:rsidP="001F5678">
      <w:pPr>
        <w:rPr>
          <w:sz w:val="24"/>
          <w:szCs w:val="24"/>
        </w:rPr>
      </w:pPr>
      <w:r w:rsidRPr="00756375">
        <w:rPr>
          <w:sz w:val="24"/>
          <w:szCs w:val="24"/>
        </w:rPr>
        <w:t>Taft College’s commitment to continuous improvement is reflected not just in its outcomes, but in the strategic planning processes that drive them. While specific metrics like course completion and credential attainment show consistent progress, the broader trend underscores the institution’s ability to respond to changing conditions—such as the impacts of COVID-19—while maintaining a clear focus on student achievement and institutional effectiveness. The College’s approach remains data-informed, goal-oriented, and adaptive to evolving student needs.</w:t>
      </w:r>
    </w:p>
    <w:p w14:paraId="186FCAD8" w14:textId="77777777" w:rsidR="002F7D9D" w:rsidRPr="00756375" w:rsidRDefault="002F7D9D" w:rsidP="001F5678">
      <w:pPr>
        <w:rPr>
          <w:sz w:val="24"/>
          <w:szCs w:val="24"/>
          <w:highlight w:val="yellow"/>
        </w:rPr>
      </w:pPr>
    </w:p>
    <w:p w14:paraId="47C11E51" w14:textId="6BC03113" w:rsidR="00706E3A" w:rsidRPr="00756375" w:rsidRDefault="0013512B" w:rsidP="009C2D12">
      <w:pPr>
        <w:pStyle w:val="ListParagraph"/>
        <w:numPr>
          <w:ilvl w:val="0"/>
          <w:numId w:val="37"/>
        </w:numPr>
        <w:rPr>
          <w:b/>
          <w:bCs/>
          <w:sz w:val="24"/>
          <w:szCs w:val="24"/>
        </w:rPr>
      </w:pPr>
      <w:r w:rsidRPr="00756375">
        <w:rPr>
          <w:b/>
          <w:bCs/>
          <w:sz w:val="24"/>
          <w:szCs w:val="24"/>
        </w:rPr>
        <w:t xml:space="preserve">When you disaggregate the data </w:t>
      </w:r>
      <w:r w:rsidR="00225A3A" w:rsidRPr="00756375">
        <w:rPr>
          <w:b/>
          <w:bCs/>
          <w:sz w:val="24"/>
          <w:szCs w:val="24"/>
        </w:rPr>
        <w:t xml:space="preserve">for the institution-set standards and other </w:t>
      </w:r>
      <w:r w:rsidR="008109ED" w:rsidRPr="00756375">
        <w:rPr>
          <w:b/>
          <w:bCs/>
          <w:sz w:val="24"/>
          <w:szCs w:val="24"/>
        </w:rPr>
        <w:t>meaningful</w:t>
      </w:r>
      <w:r w:rsidR="00225A3A" w:rsidRPr="00756375">
        <w:rPr>
          <w:b/>
          <w:bCs/>
          <w:sz w:val="24"/>
          <w:szCs w:val="24"/>
        </w:rPr>
        <w:t xml:space="preserve"> metrics of student achievement, what do you see</w:t>
      </w:r>
      <w:r w:rsidR="008109ED" w:rsidRPr="00756375">
        <w:rPr>
          <w:b/>
          <w:bCs/>
          <w:sz w:val="24"/>
          <w:szCs w:val="24"/>
        </w:rPr>
        <w:t xml:space="preserve"> related to equitable</w:t>
      </w:r>
      <w:r w:rsidR="0038790E" w:rsidRPr="00756375">
        <w:rPr>
          <w:b/>
          <w:bCs/>
          <w:sz w:val="24"/>
          <w:szCs w:val="24"/>
        </w:rPr>
        <w:t xml:space="preserve"> student</w:t>
      </w:r>
      <w:r w:rsidR="008109ED" w:rsidRPr="00756375">
        <w:rPr>
          <w:b/>
          <w:bCs/>
          <w:sz w:val="24"/>
          <w:szCs w:val="24"/>
        </w:rPr>
        <w:t xml:space="preserve"> achievement</w:t>
      </w:r>
      <w:r w:rsidR="00101013" w:rsidRPr="00756375">
        <w:rPr>
          <w:b/>
          <w:bCs/>
          <w:sz w:val="24"/>
          <w:szCs w:val="24"/>
        </w:rPr>
        <w:t xml:space="preserve"> outcomes</w:t>
      </w:r>
      <w:r w:rsidR="0038790E" w:rsidRPr="00756375">
        <w:rPr>
          <w:b/>
          <w:bCs/>
          <w:sz w:val="24"/>
          <w:szCs w:val="24"/>
        </w:rPr>
        <w:t xml:space="preserve"> (i.e., equity gaps)</w:t>
      </w:r>
      <w:r w:rsidR="00225A3A" w:rsidRPr="00756375">
        <w:rPr>
          <w:b/>
          <w:bCs/>
          <w:sz w:val="24"/>
          <w:szCs w:val="24"/>
        </w:rPr>
        <w:t>? What pattern</w:t>
      </w:r>
      <w:r w:rsidR="008109ED" w:rsidRPr="00756375">
        <w:rPr>
          <w:b/>
          <w:bCs/>
          <w:sz w:val="24"/>
          <w:szCs w:val="24"/>
        </w:rPr>
        <w:t>s</w:t>
      </w:r>
      <w:r w:rsidR="00225A3A" w:rsidRPr="00756375">
        <w:rPr>
          <w:b/>
          <w:bCs/>
          <w:sz w:val="24"/>
          <w:szCs w:val="24"/>
        </w:rPr>
        <w:t xml:space="preserve"> or trend</w:t>
      </w:r>
      <w:r w:rsidR="008109ED" w:rsidRPr="00756375">
        <w:rPr>
          <w:b/>
          <w:bCs/>
          <w:sz w:val="24"/>
          <w:szCs w:val="24"/>
        </w:rPr>
        <w:t>s</w:t>
      </w:r>
      <w:r w:rsidR="00225A3A" w:rsidRPr="00756375">
        <w:rPr>
          <w:b/>
          <w:bCs/>
          <w:sz w:val="24"/>
          <w:szCs w:val="24"/>
        </w:rPr>
        <w:t xml:space="preserve"> excite you? </w:t>
      </w:r>
      <w:r w:rsidR="008109ED" w:rsidRPr="00756375">
        <w:rPr>
          <w:b/>
          <w:bCs/>
          <w:sz w:val="24"/>
          <w:szCs w:val="24"/>
        </w:rPr>
        <w:t xml:space="preserve">What patterns or trends concern you? </w:t>
      </w:r>
    </w:p>
    <w:p w14:paraId="34DC19FA" w14:textId="77777777" w:rsidR="00A702E6" w:rsidRPr="00756375" w:rsidRDefault="00A702E6" w:rsidP="00A702E6">
      <w:pPr>
        <w:tabs>
          <w:tab w:val="left" w:pos="0"/>
        </w:tabs>
        <w:rPr>
          <w:sz w:val="24"/>
          <w:szCs w:val="24"/>
        </w:rPr>
      </w:pPr>
    </w:p>
    <w:p w14:paraId="396F821B" w14:textId="2FB55B02" w:rsidR="00950CE4" w:rsidRPr="00756375" w:rsidRDefault="009D7542" w:rsidP="00950CE4">
      <w:pPr>
        <w:rPr>
          <w:sz w:val="24"/>
          <w:szCs w:val="24"/>
        </w:rPr>
      </w:pPr>
      <w:r w:rsidRPr="00756375">
        <w:rPr>
          <w:sz w:val="24"/>
          <w:szCs w:val="24"/>
        </w:rPr>
        <w:t xml:space="preserve">Taft College’s </w:t>
      </w:r>
      <w:hyperlink r:id="rId30" w:history="1">
        <w:r w:rsidR="00CB649E" w:rsidRPr="00756375">
          <w:rPr>
            <w:rStyle w:val="Hyperlink"/>
            <w:sz w:val="24"/>
            <w:szCs w:val="24"/>
          </w:rPr>
          <w:t>Comprehensive Program Review Dashboard</w:t>
        </w:r>
      </w:hyperlink>
      <w:r w:rsidRPr="00756375">
        <w:rPr>
          <w:sz w:val="24"/>
          <w:szCs w:val="24"/>
        </w:rPr>
        <w:t xml:space="preserve"> </w:t>
      </w:r>
      <w:r w:rsidR="00BB185E" w:rsidRPr="00756375">
        <w:rPr>
          <w:sz w:val="24"/>
          <w:szCs w:val="24"/>
        </w:rPr>
        <w:t xml:space="preserve">and </w:t>
      </w:r>
      <w:hyperlink r:id="rId31" w:history="1">
        <w:r w:rsidR="00CB649E" w:rsidRPr="00756375">
          <w:rPr>
            <w:rStyle w:val="Hyperlink"/>
            <w:sz w:val="24"/>
            <w:szCs w:val="24"/>
          </w:rPr>
          <w:t>Student Equity Plan Dashboard</w:t>
        </w:r>
      </w:hyperlink>
      <w:r w:rsidR="00BB185E" w:rsidRPr="00756375">
        <w:rPr>
          <w:sz w:val="24"/>
          <w:szCs w:val="24"/>
        </w:rPr>
        <w:t xml:space="preserve"> </w:t>
      </w:r>
      <w:r w:rsidRPr="00756375">
        <w:rPr>
          <w:sz w:val="24"/>
          <w:szCs w:val="24"/>
        </w:rPr>
        <w:t xml:space="preserve">presents disaggregated data related to institution-set standards and other student achievement metrics. Some equity gaps exist, particularly as the Hispanic student population has grown from 50% in 2018 to over 65% in </w:t>
      </w:r>
      <w:r w:rsidR="00BB185E" w:rsidRPr="00756375">
        <w:rPr>
          <w:sz w:val="24"/>
          <w:szCs w:val="24"/>
        </w:rPr>
        <w:t>f</w:t>
      </w:r>
      <w:r w:rsidRPr="00756375">
        <w:rPr>
          <w:sz w:val="24"/>
          <w:szCs w:val="24"/>
        </w:rPr>
        <w:t>all 2024. Hispanic students have been disproportionately impacted across three key student outcome metrics: course success rate, retention rate, and degree attainment. The College is actively addressing these gaps.</w:t>
      </w:r>
      <w:r w:rsidR="00DE4987" w:rsidRPr="00756375">
        <w:rPr>
          <w:sz w:val="24"/>
          <w:szCs w:val="24"/>
        </w:rPr>
        <w:t xml:space="preserve"> </w:t>
      </w:r>
      <w:r w:rsidRPr="00756375">
        <w:rPr>
          <w:sz w:val="24"/>
          <w:szCs w:val="24"/>
        </w:rPr>
        <w:t xml:space="preserve">For example, Table 1 below (extracted from the Comprehensive Program Review </w:t>
      </w:r>
      <w:r w:rsidR="00950CE4" w:rsidRPr="00756375">
        <w:rPr>
          <w:sz w:val="24"/>
          <w:szCs w:val="24"/>
        </w:rPr>
        <w:t>D</w:t>
      </w:r>
      <w:r w:rsidRPr="00756375">
        <w:rPr>
          <w:sz w:val="24"/>
          <w:szCs w:val="24"/>
        </w:rPr>
        <w:t xml:space="preserve">ashboard) shows that course success rates for African American and Hispanic students have been slightly lower compared to other racial and ethnic groups. However, the College has made significant strides in addressing this concern. Over the past seven years, the course success rate for Hispanic students has consistently increased from 65% to 69%, effectively narrowing the equity gap. In </w:t>
      </w:r>
      <w:r w:rsidR="00CB649E" w:rsidRPr="00756375">
        <w:rPr>
          <w:sz w:val="24"/>
          <w:szCs w:val="24"/>
        </w:rPr>
        <w:t>f</w:t>
      </w:r>
      <w:r w:rsidRPr="00756375">
        <w:rPr>
          <w:sz w:val="24"/>
          <w:szCs w:val="24"/>
        </w:rPr>
        <w:t>all 2024, the course success rate for Hispanic students reached 69%, aligning with the overall rate and demonstrating the College’s commitment to equity and student success.</w:t>
      </w:r>
    </w:p>
    <w:p w14:paraId="75D40AE5" w14:textId="77777777" w:rsidR="00950CE4" w:rsidRPr="00756375" w:rsidRDefault="00950CE4" w:rsidP="00950CE4">
      <w:pPr>
        <w:rPr>
          <w:sz w:val="24"/>
          <w:szCs w:val="24"/>
        </w:rPr>
      </w:pPr>
    </w:p>
    <w:p w14:paraId="1241180F" w14:textId="0338C719" w:rsidR="00B63BF2" w:rsidRPr="00756375" w:rsidRDefault="00B63BF2" w:rsidP="00706E3A">
      <w:pPr>
        <w:rPr>
          <w:i/>
          <w:iCs/>
          <w:sz w:val="24"/>
          <w:szCs w:val="24"/>
        </w:rPr>
      </w:pPr>
      <w:r w:rsidRPr="00756375">
        <w:rPr>
          <w:i/>
          <w:iCs/>
          <w:sz w:val="24"/>
          <w:szCs w:val="24"/>
        </w:rPr>
        <w:t>Table 1 Course Success Rate by Ethnicity from Fall 2018 to Fall 2024</w:t>
      </w:r>
    </w:p>
    <w:tbl>
      <w:tblPr>
        <w:tblW w:w="8900" w:type="dxa"/>
        <w:tblLook w:val="04A0" w:firstRow="1" w:lastRow="0" w:firstColumn="1" w:lastColumn="0" w:noHBand="0" w:noVBand="1"/>
      </w:tblPr>
      <w:tblGrid>
        <w:gridCol w:w="2180"/>
        <w:gridCol w:w="960"/>
        <w:gridCol w:w="960"/>
        <w:gridCol w:w="960"/>
        <w:gridCol w:w="960"/>
        <w:gridCol w:w="960"/>
        <w:gridCol w:w="960"/>
        <w:gridCol w:w="960"/>
      </w:tblGrid>
      <w:tr w:rsidR="00B63BF2" w:rsidRPr="00756375" w14:paraId="34B6B41C" w14:textId="77777777" w:rsidTr="00B63BF2">
        <w:trPr>
          <w:trHeight w:val="315"/>
        </w:trPr>
        <w:tc>
          <w:tcPr>
            <w:tcW w:w="2180" w:type="dxa"/>
            <w:tcBorders>
              <w:top w:val="single" w:sz="8" w:space="0" w:color="auto"/>
              <w:left w:val="single" w:sz="8" w:space="0" w:color="auto"/>
              <w:bottom w:val="single" w:sz="4" w:space="0" w:color="auto"/>
              <w:right w:val="single" w:sz="4" w:space="0" w:color="auto"/>
            </w:tcBorders>
            <w:shd w:val="clear" w:color="000000" w:fill="002060"/>
            <w:noWrap/>
            <w:hideMark/>
          </w:tcPr>
          <w:p w14:paraId="5F677C63"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 </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201BDB0D"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2018</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67AF4994"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2019</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4AA69406"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2020</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73897B2D"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2021</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7C4754BF"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2022</w:t>
            </w:r>
          </w:p>
        </w:tc>
        <w:tc>
          <w:tcPr>
            <w:tcW w:w="960" w:type="dxa"/>
            <w:tcBorders>
              <w:top w:val="single" w:sz="8" w:space="0" w:color="auto"/>
              <w:left w:val="nil"/>
              <w:bottom w:val="single" w:sz="4" w:space="0" w:color="auto"/>
              <w:right w:val="single" w:sz="4" w:space="0" w:color="auto"/>
            </w:tcBorders>
            <w:shd w:val="clear" w:color="000000" w:fill="002060"/>
            <w:noWrap/>
            <w:hideMark/>
          </w:tcPr>
          <w:p w14:paraId="578B16B3"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2023</w:t>
            </w:r>
          </w:p>
        </w:tc>
        <w:tc>
          <w:tcPr>
            <w:tcW w:w="960" w:type="dxa"/>
            <w:tcBorders>
              <w:top w:val="single" w:sz="8" w:space="0" w:color="auto"/>
              <w:left w:val="nil"/>
              <w:bottom w:val="single" w:sz="4" w:space="0" w:color="auto"/>
              <w:right w:val="single" w:sz="8" w:space="0" w:color="auto"/>
            </w:tcBorders>
            <w:shd w:val="clear" w:color="000000" w:fill="002060"/>
            <w:noWrap/>
            <w:hideMark/>
          </w:tcPr>
          <w:p w14:paraId="0DF2BFDA" w14:textId="77777777" w:rsidR="00B63BF2" w:rsidRPr="00756375" w:rsidRDefault="00B63BF2" w:rsidP="00B63BF2">
            <w:pPr>
              <w:widowControl/>
              <w:ind w:right="0"/>
              <w:rPr>
                <w:rFonts w:ascii="Aptos Narrow" w:eastAsia="Times New Roman" w:hAnsi="Aptos Narrow"/>
                <w:b/>
                <w:bCs/>
                <w:color w:val="FFFFFF"/>
                <w:spacing w:val="0"/>
                <w:sz w:val="24"/>
                <w:szCs w:val="24"/>
              </w:rPr>
            </w:pPr>
            <w:r w:rsidRPr="00756375">
              <w:rPr>
                <w:rFonts w:ascii="Aptos Narrow" w:eastAsia="Times New Roman" w:hAnsi="Aptos Narrow"/>
                <w:b/>
                <w:bCs/>
                <w:color w:val="FFFFFF"/>
                <w:spacing w:val="0"/>
                <w:sz w:val="24"/>
                <w:szCs w:val="24"/>
              </w:rPr>
              <w:t>Fall 2024</w:t>
            </w:r>
          </w:p>
        </w:tc>
      </w:tr>
      <w:tr w:rsidR="00B63BF2" w:rsidRPr="00756375" w14:paraId="64BD9F8D"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60286C90"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African American</w:t>
            </w:r>
          </w:p>
        </w:tc>
        <w:tc>
          <w:tcPr>
            <w:tcW w:w="960" w:type="dxa"/>
            <w:tcBorders>
              <w:top w:val="nil"/>
              <w:left w:val="nil"/>
              <w:bottom w:val="single" w:sz="4" w:space="0" w:color="auto"/>
              <w:right w:val="single" w:sz="4" w:space="0" w:color="auto"/>
            </w:tcBorders>
            <w:noWrap/>
            <w:vAlign w:val="bottom"/>
            <w:hideMark/>
          </w:tcPr>
          <w:p w14:paraId="09D9BAB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62%</w:t>
            </w:r>
          </w:p>
        </w:tc>
        <w:tc>
          <w:tcPr>
            <w:tcW w:w="960" w:type="dxa"/>
            <w:tcBorders>
              <w:top w:val="nil"/>
              <w:left w:val="nil"/>
              <w:bottom w:val="single" w:sz="4" w:space="0" w:color="auto"/>
              <w:right w:val="single" w:sz="4" w:space="0" w:color="auto"/>
            </w:tcBorders>
            <w:noWrap/>
            <w:vAlign w:val="bottom"/>
            <w:hideMark/>
          </w:tcPr>
          <w:p w14:paraId="00DCAF4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58%</w:t>
            </w:r>
          </w:p>
        </w:tc>
        <w:tc>
          <w:tcPr>
            <w:tcW w:w="960" w:type="dxa"/>
            <w:tcBorders>
              <w:top w:val="nil"/>
              <w:left w:val="nil"/>
              <w:bottom w:val="single" w:sz="4" w:space="0" w:color="auto"/>
              <w:right w:val="single" w:sz="4" w:space="0" w:color="auto"/>
            </w:tcBorders>
            <w:noWrap/>
            <w:vAlign w:val="bottom"/>
            <w:hideMark/>
          </w:tcPr>
          <w:p w14:paraId="2D3C5A5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60%</w:t>
            </w:r>
          </w:p>
        </w:tc>
        <w:tc>
          <w:tcPr>
            <w:tcW w:w="960" w:type="dxa"/>
            <w:tcBorders>
              <w:top w:val="nil"/>
              <w:left w:val="nil"/>
              <w:bottom w:val="single" w:sz="4" w:space="0" w:color="auto"/>
              <w:right w:val="single" w:sz="4" w:space="0" w:color="auto"/>
            </w:tcBorders>
            <w:noWrap/>
            <w:vAlign w:val="bottom"/>
            <w:hideMark/>
          </w:tcPr>
          <w:p w14:paraId="7F62432C"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62%</w:t>
            </w:r>
          </w:p>
        </w:tc>
        <w:tc>
          <w:tcPr>
            <w:tcW w:w="960" w:type="dxa"/>
            <w:tcBorders>
              <w:top w:val="nil"/>
              <w:left w:val="nil"/>
              <w:bottom w:val="single" w:sz="4" w:space="0" w:color="auto"/>
              <w:right w:val="single" w:sz="4" w:space="0" w:color="auto"/>
            </w:tcBorders>
            <w:noWrap/>
            <w:vAlign w:val="bottom"/>
            <w:hideMark/>
          </w:tcPr>
          <w:p w14:paraId="77B7E19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54%</w:t>
            </w:r>
          </w:p>
        </w:tc>
        <w:tc>
          <w:tcPr>
            <w:tcW w:w="960" w:type="dxa"/>
            <w:tcBorders>
              <w:top w:val="nil"/>
              <w:left w:val="nil"/>
              <w:bottom w:val="single" w:sz="4" w:space="0" w:color="auto"/>
              <w:right w:val="single" w:sz="4" w:space="0" w:color="auto"/>
            </w:tcBorders>
            <w:noWrap/>
            <w:vAlign w:val="bottom"/>
            <w:hideMark/>
          </w:tcPr>
          <w:p w14:paraId="64561D9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61%</w:t>
            </w:r>
          </w:p>
        </w:tc>
        <w:tc>
          <w:tcPr>
            <w:tcW w:w="960" w:type="dxa"/>
            <w:tcBorders>
              <w:top w:val="nil"/>
              <w:left w:val="nil"/>
              <w:bottom w:val="single" w:sz="4" w:space="0" w:color="auto"/>
              <w:right w:val="single" w:sz="8" w:space="0" w:color="auto"/>
            </w:tcBorders>
            <w:noWrap/>
            <w:vAlign w:val="bottom"/>
            <w:hideMark/>
          </w:tcPr>
          <w:p w14:paraId="56BB266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53%</w:t>
            </w:r>
          </w:p>
        </w:tc>
      </w:tr>
      <w:tr w:rsidR="00B63BF2" w:rsidRPr="00756375" w14:paraId="125DC4AE"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599EC567"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American Indian</w:t>
            </w:r>
          </w:p>
        </w:tc>
        <w:tc>
          <w:tcPr>
            <w:tcW w:w="960" w:type="dxa"/>
            <w:tcBorders>
              <w:top w:val="nil"/>
              <w:left w:val="nil"/>
              <w:bottom w:val="single" w:sz="4" w:space="0" w:color="auto"/>
              <w:right w:val="single" w:sz="4" w:space="0" w:color="auto"/>
            </w:tcBorders>
            <w:noWrap/>
            <w:vAlign w:val="bottom"/>
            <w:hideMark/>
          </w:tcPr>
          <w:p w14:paraId="3B07F0D0"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58%</w:t>
            </w:r>
          </w:p>
        </w:tc>
        <w:tc>
          <w:tcPr>
            <w:tcW w:w="960" w:type="dxa"/>
            <w:tcBorders>
              <w:top w:val="nil"/>
              <w:left w:val="nil"/>
              <w:bottom w:val="single" w:sz="4" w:space="0" w:color="auto"/>
              <w:right w:val="single" w:sz="4" w:space="0" w:color="auto"/>
            </w:tcBorders>
            <w:noWrap/>
            <w:vAlign w:val="bottom"/>
            <w:hideMark/>
          </w:tcPr>
          <w:p w14:paraId="3AAE20B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63%</w:t>
            </w:r>
          </w:p>
        </w:tc>
        <w:tc>
          <w:tcPr>
            <w:tcW w:w="960" w:type="dxa"/>
            <w:tcBorders>
              <w:top w:val="nil"/>
              <w:left w:val="nil"/>
              <w:bottom w:val="single" w:sz="4" w:space="0" w:color="auto"/>
              <w:right w:val="single" w:sz="4" w:space="0" w:color="auto"/>
            </w:tcBorders>
            <w:noWrap/>
            <w:vAlign w:val="bottom"/>
            <w:hideMark/>
          </w:tcPr>
          <w:p w14:paraId="452A25C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7CF85BE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5EEB46A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81%</w:t>
            </w:r>
          </w:p>
        </w:tc>
        <w:tc>
          <w:tcPr>
            <w:tcW w:w="960" w:type="dxa"/>
            <w:tcBorders>
              <w:top w:val="nil"/>
              <w:left w:val="nil"/>
              <w:bottom w:val="single" w:sz="4" w:space="0" w:color="auto"/>
              <w:right w:val="single" w:sz="4" w:space="0" w:color="auto"/>
            </w:tcBorders>
            <w:noWrap/>
            <w:vAlign w:val="bottom"/>
            <w:hideMark/>
          </w:tcPr>
          <w:p w14:paraId="030226F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75%</w:t>
            </w:r>
          </w:p>
        </w:tc>
        <w:tc>
          <w:tcPr>
            <w:tcW w:w="960" w:type="dxa"/>
            <w:tcBorders>
              <w:top w:val="nil"/>
              <w:left w:val="nil"/>
              <w:bottom w:val="single" w:sz="4" w:space="0" w:color="auto"/>
              <w:right w:val="single" w:sz="8" w:space="0" w:color="auto"/>
            </w:tcBorders>
            <w:noWrap/>
            <w:vAlign w:val="bottom"/>
            <w:hideMark/>
          </w:tcPr>
          <w:p w14:paraId="049CE730"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67%</w:t>
            </w:r>
          </w:p>
        </w:tc>
      </w:tr>
      <w:tr w:rsidR="00B63BF2" w:rsidRPr="00756375" w14:paraId="024B8649"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324F0013"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Asian</w:t>
            </w:r>
          </w:p>
        </w:tc>
        <w:tc>
          <w:tcPr>
            <w:tcW w:w="960" w:type="dxa"/>
            <w:tcBorders>
              <w:top w:val="nil"/>
              <w:left w:val="nil"/>
              <w:bottom w:val="single" w:sz="4" w:space="0" w:color="auto"/>
              <w:right w:val="single" w:sz="4" w:space="0" w:color="auto"/>
            </w:tcBorders>
            <w:noWrap/>
            <w:vAlign w:val="bottom"/>
            <w:hideMark/>
          </w:tcPr>
          <w:p w14:paraId="1BC29E5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79%</w:t>
            </w:r>
          </w:p>
        </w:tc>
        <w:tc>
          <w:tcPr>
            <w:tcW w:w="960" w:type="dxa"/>
            <w:tcBorders>
              <w:top w:val="nil"/>
              <w:left w:val="nil"/>
              <w:bottom w:val="single" w:sz="4" w:space="0" w:color="auto"/>
              <w:right w:val="single" w:sz="4" w:space="0" w:color="auto"/>
            </w:tcBorders>
            <w:noWrap/>
            <w:vAlign w:val="bottom"/>
            <w:hideMark/>
          </w:tcPr>
          <w:p w14:paraId="1440A7F1"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0F7772D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747DCA0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82%</w:t>
            </w:r>
          </w:p>
        </w:tc>
        <w:tc>
          <w:tcPr>
            <w:tcW w:w="960" w:type="dxa"/>
            <w:tcBorders>
              <w:top w:val="nil"/>
              <w:left w:val="nil"/>
              <w:bottom w:val="single" w:sz="4" w:space="0" w:color="auto"/>
              <w:right w:val="single" w:sz="4" w:space="0" w:color="auto"/>
            </w:tcBorders>
            <w:noWrap/>
            <w:vAlign w:val="bottom"/>
            <w:hideMark/>
          </w:tcPr>
          <w:p w14:paraId="18BD6DC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76%</w:t>
            </w:r>
          </w:p>
        </w:tc>
        <w:tc>
          <w:tcPr>
            <w:tcW w:w="960" w:type="dxa"/>
            <w:tcBorders>
              <w:top w:val="nil"/>
              <w:left w:val="nil"/>
              <w:bottom w:val="single" w:sz="4" w:space="0" w:color="auto"/>
              <w:right w:val="single" w:sz="4" w:space="0" w:color="auto"/>
            </w:tcBorders>
            <w:noWrap/>
            <w:vAlign w:val="bottom"/>
            <w:hideMark/>
          </w:tcPr>
          <w:p w14:paraId="3628BF0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8" w:space="0" w:color="auto"/>
            </w:tcBorders>
            <w:noWrap/>
            <w:vAlign w:val="bottom"/>
            <w:hideMark/>
          </w:tcPr>
          <w:p w14:paraId="5434A28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r>
      <w:tr w:rsidR="00B63BF2" w:rsidRPr="00756375" w14:paraId="68364BF4" w14:textId="77777777" w:rsidTr="00B63BF2">
        <w:trPr>
          <w:trHeight w:val="300"/>
        </w:trPr>
        <w:tc>
          <w:tcPr>
            <w:tcW w:w="2180" w:type="dxa"/>
            <w:tcBorders>
              <w:top w:val="nil"/>
              <w:left w:val="single" w:sz="8" w:space="0" w:color="auto"/>
              <w:bottom w:val="single" w:sz="4" w:space="0" w:color="auto"/>
              <w:right w:val="single" w:sz="4" w:space="0" w:color="auto"/>
            </w:tcBorders>
            <w:shd w:val="clear" w:color="000000" w:fill="DAF2D0"/>
            <w:noWrap/>
            <w:vAlign w:val="bottom"/>
            <w:hideMark/>
          </w:tcPr>
          <w:p w14:paraId="266B5A50" w14:textId="77777777" w:rsidR="00B63BF2" w:rsidRPr="00756375" w:rsidRDefault="00B63BF2" w:rsidP="00B63BF2">
            <w:pPr>
              <w:widowControl/>
              <w:ind w:right="0"/>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Hispanic</w:t>
            </w:r>
          </w:p>
        </w:tc>
        <w:tc>
          <w:tcPr>
            <w:tcW w:w="960" w:type="dxa"/>
            <w:tcBorders>
              <w:top w:val="nil"/>
              <w:left w:val="nil"/>
              <w:bottom w:val="single" w:sz="4" w:space="0" w:color="auto"/>
              <w:right w:val="single" w:sz="4" w:space="0" w:color="auto"/>
            </w:tcBorders>
            <w:shd w:val="clear" w:color="000000" w:fill="DAF2D0"/>
            <w:noWrap/>
            <w:vAlign w:val="bottom"/>
            <w:hideMark/>
          </w:tcPr>
          <w:p w14:paraId="7F7486F4"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65%</w:t>
            </w:r>
          </w:p>
        </w:tc>
        <w:tc>
          <w:tcPr>
            <w:tcW w:w="960" w:type="dxa"/>
            <w:tcBorders>
              <w:top w:val="nil"/>
              <w:left w:val="nil"/>
              <w:bottom w:val="single" w:sz="4" w:space="0" w:color="auto"/>
              <w:right w:val="single" w:sz="4" w:space="0" w:color="auto"/>
            </w:tcBorders>
            <w:shd w:val="clear" w:color="000000" w:fill="DAF2D0"/>
            <w:noWrap/>
            <w:vAlign w:val="bottom"/>
            <w:hideMark/>
          </w:tcPr>
          <w:p w14:paraId="346A31F5"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64%</w:t>
            </w:r>
          </w:p>
        </w:tc>
        <w:tc>
          <w:tcPr>
            <w:tcW w:w="960" w:type="dxa"/>
            <w:tcBorders>
              <w:top w:val="nil"/>
              <w:left w:val="nil"/>
              <w:bottom w:val="single" w:sz="4" w:space="0" w:color="auto"/>
              <w:right w:val="single" w:sz="4" w:space="0" w:color="auto"/>
            </w:tcBorders>
            <w:shd w:val="clear" w:color="000000" w:fill="DAF2D0"/>
            <w:noWrap/>
            <w:vAlign w:val="bottom"/>
            <w:hideMark/>
          </w:tcPr>
          <w:p w14:paraId="690B4C75"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60%</w:t>
            </w:r>
          </w:p>
        </w:tc>
        <w:tc>
          <w:tcPr>
            <w:tcW w:w="960" w:type="dxa"/>
            <w:tcBorders>
              <w:top w:val="nil"/>
              <w:left w:val="nil"/>
              <w:bottom w:val="single" w:sz="4" w:space="0" w:color="auto"/>
              <w:right w:val="single" w:sz="4" w:space="0" w:color="auto"/>
            </w:tcBorders>
            <w:shd w:val="clear" w:color="000000" w:fill="DAF2D0"/>
            <w:noWrap/>
            <w:vAlign w:val="bottom"/>
            <w:hideMark/>
          </w:tcPr>
          <w:p w14:paraId="71811724"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66%</w:t>
            </w:r>
          </w:p>
        </w:tc>
        <w:tc>
          <w:tcPr>
            <w:tcW w:w="960" w:type="dxa"/>
            <w:tcBorders>
              <w:top w:val="nil"/>
              <w:left w:val="nil"/>
              <w:bottom w:val="single" w:sz="4" w:space="0" w:color="auto"/>
              <w:right w:val="single" w:sz="4" w:space="0" w:color="auto"/>
            </w:tcBorders>
            <w:shd w:val="clear" w:color="000000" w:fill="DAF2D0"/>
            <w:noWrap/>
            <w:vAlign w:val="bottom"/>
            <w:hideMark/>
          </w:tcPr>
          <w:p w14:paraId="0061BCD7"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66%</w:t>
            </w:r>
          </w:p>
        </w:tc>
        <w:tc>
          <w:tcPr>
            <w:tcW w:w="960" w:type="dxa"/>
            <w:tcBorders>
              <w:top w:val="nil"/>
              <w:left w:val="nil"/>
              <w:bottom w:val="single" w:sz="4" w:space="0" w:color="auto"/>
              <w:right w:val="single" w:sz="4" w:space="0" w:color="auto"/>
            </w:tcBorders>
            <w:shd w:val="clear" w:color="000000" w:fill="DAF2D0"/>
            <w:noWrap/>
            <w:vAlign w:val="bottom"/>
            <w:hideMark/>
          </w:tcPr>
          <w:p w14:paraId="409621DA"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4" w:space="0" w:color="auto"/>
              <w:right w:val="single" w:sz="8" w:space="0" w:color="auto"/>
            </w:tcBorders>
            <w:shd w:val="clear" w:color="000000" w:fill="DAF2D0"/>
            <w:noWrap/>
            <w:vAlign w:val="bottom"/>
            <w:hideMark/>
          </w:tcPr>
          <w:p w14:paraId="5A9D864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r>
      <w:tr w:rsidR="00B63BF2" w:rsidRPr="00756375" w14:paraId="3B92C20C"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060CC5E2"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International</w:t>
            </w:r>
          </w:p>
        </w:tc>
        <w:tc>
          <w:tcPr>
            <w:tcW w:w="960" w:type="dxa"/>
            <w:tcBorders>
              <w:top w:val="nil"/>
              <w:left w:val="nil"/>
              <w:bottom w:val="single" w:sz="4" w:space="0" w:color="auto"/>
              <w:right w:val="single" w:sz="4" w:space="0" w:color="auto"/>
            </w:tcBorders>
            <w:noWrap/>
            <w:vAlign w:val="bottom"/>
            <w:hideMark/>
          </w:tcPr>
          <w:p w14:paraId="33101458"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0AE93203"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2F305FD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6DDA01F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5F8A3D6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4" w:space="0" w:color="auto"/>
            </w:tcBorders>
            <w:noWrap/>
            <w:vAlign w:val="bottom"/>
            <w:hideMark/>
          </w:tcPr>
          <w:p w14:paraId="5562FFD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c>
          <w:tcPr>
            <w:tcW w:w="960" w:type="dxa"/>
            <w:tcBorders>
              <w:top w:val="nil"/>
              <w:left w:val="nil"/>
              <w:bottom w:val="single" w:sz="4" w:space="0" w:color="auto"/>
              <w:right w:val="single" w:sz="8" w:space="0" w:color="auto"/>
            </w:tcBorders>
            <w:noWrap/>
            <w:vAlign w:val="bottom"/>
            <w:hideMark/>
          </w:tcPr>
          <w:p w14:paraId="51FEEB3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100%</w:t>
            </w:r>
          </w:p>
        </w:tc>
      </w:tr>
      <w:tr w:rsidR="00B63BF2" w:rsidRPr="00756375" w14:paraId="57BAF687"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082B261F"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Multiple Races</w:t>
            </w:r>
          </w:p>
        </w:tc>
        <w:tc>
          <w:tcPr>
            <w:tcW w:w="960" w:type="dxa"/>
            <w:tcBorders>
              <w:top w:val="nil"/>
              <w:left w:val="nil"/>
              <w:bottom w:val="single" w:sz="4" w:space="0" w:color="auto"/>
              <w:right w:val="single" w:sz="4" w:space="0" w:color="auto"/>
            </w:tcBorders>
            <w:noWrap/>
            <w:vAlign w:val="bottom"/>
            <w:hideMark/>
          </w:tcPr>
          <w:p w14:paraId="7A622BF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4" w:space="0" w:color="auto"/>
            </w:tcBorders>
            <w:noWrap/>
            <w:vAlign w:val="bottom"/>
            <w:hideMark/>
          </w:tcPr>
          <w:p w14:paraId="233E2948"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4" w:space="0" w:color="auto"/>
            </w:tcBorders>
            <w:noWrap/>
            <w:vAlign w:val="bottom"/>
            <w:hideMark/>
          </w:tcPr>
          <w:p w14:paraId="22C2749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1900937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67%</w:t>
            </w:r>
          </w:p>
        </w:tc>
        <w:tc>
          <w:tcPr>
            <w:tcW w:w="960" w:type="dxa"/>
            <w:tcBorders>
              <w:top w:val="nil"/>
              <w:left w:val="nil"/>
              <w:bottom w:val="single" w:sz="4" w:space="0" w:color="auto"/>
              <w:right w:val="single" w:sz="4" w:space="0" w:color="auto"/>
            </w:tcBorders>
            <w:noWrap/>
            <w:vAlign w:val="bottom"/>
            <w:hideMark/>
          </w:tcPr>
          <w:p w14:paraId="4626DDD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76%</w:t>
            </w:r>
          </w:p>
        </w:tc>
        <w:tc>
          <w:tcPr>
            <w:tcW w:w="960" w:type="dxa"/>
            <w:tcBorders>
              <w:top w:val="nil"/>
              <w:left w:val="nil"/>
              <w:bottom w:val="single" w:sz="4" w:space="0" w:color="auto"/>
              <w:right w:val="single" w:sz="4" w:space="0" w:color="auto"/>
            </w:tcBorders>
            <w:noWrap/>
            <w:vAlign w:val="bottom"/>
            <w:hideMark/>
          </w:tcPr>
          <w:p w14:paraId="5C18E96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79%</w:t>
            </w:r>
          </w:p>
        </w:tc>
        <w:tc>
          <w:tcPr>
            <w:tcW w:w="960" w:type="dxa"/>
            <w:tcBorders>
              <w:top w:val="nil"/>
              <w:left w:val="nil"/>
              <w:bottom w:val="single" w:sz="4" w:space="0" w:color="auto"/>
              <w:right w:val="single" w:sz="8" w:space="0" w:color="auto"/>
            </w:tcBorders>
            <w:noWrap/>
            <w:vAlign w:val="bottom"/>
            <w:hideMark/>
          </w:tcPr>
          <w:p w14:paraId="42BFEB8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r>
      <w:tr w:rsidR="00B63BF2" w:rsidRPr="00756375" w14:paraId="338B22F2"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3A906F23"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Native Hawaiian</w:t>
            </w:r>
          </w:p>
        </w:tc>
        <w:tc>
          <w:tcPr>
            <w:tcW w:w="960" w:type="dxa"/>
            <w:tcBorders>
              <w:top w:val="nil"/>
              <w:left w:val="nil"/>
              <w:bottom w:val="single" w:sz="4" w:space="0" w:color="auto"/>
              <w:right w:val="single" w:sz="4" w:space="0" w:color="auto"/>
            </w:tcBorders>
            <w:noWrap/>
            <w:vAlign w:val="bottom"/>
            <w:hideMark/>
          </w:tcPr>
          <w:p w14:paraId="5204603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71%</w:t>
            </w:r>
          </w:p>
        </w:tc>
        <w:tc>
          <w:tcPr>
            <w:tcW w:w="960" w:type="dxa"/>
            <w:tcBorders>
              <w:top w:val="nil"/>
              <w:left w:val="nil"/>
              <w:bottom w:val="single" w:sz="4" w:space="0" w:color="auto"/>
              <w:right w:val="single" w:sz="4" w:space="0" w:color="auto"/>
            </w:tcBorders>
            <w:noWrap/>
            <w:vAlign w:val="bottom"/>
            <w:hideMark/>
          </w:tcPr>
          <w:p w14:paraId="0CECEBCA"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51%</w:t>
            </w:r>
          </w:p>
        </w:tc>
        <w:tc>
          <w:tcPr>
            <w:tcW w:w="960" w:type="dxa"/>
            <w:tcBorders>
              <w:top w:val="nil"/>
              <w:left w:val="nil"/>
              <w:bottom w:val="single" w:sz="4" w:space="0" w:color="auto"/>
              <w:right w:val="single" w:sz="4" w:space="0" w:color="auto"/>
            </w:tcBorders>
            <w:noWrap/>
            <w:vAlign w:val="bottom"/>
            <w:hideMark/>
          </w:tcPr>
          <w:p w14:paraId="781E5FD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4050F6C2"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77%</w:t>
            </w:r>
          </w:p>
        </w:tc>
        <w:tc>
          <w:tcPr>
            <w:tcW w:w="960" w:type="dxa"/>
            <w:tcBorders>
              <w:top w:val="nil"/>
              <w:left w:val="nil"/>
              <w:bottom w:val="single" w:sz="4" w:space="0" w:color="auto"/>
              <w:right w:val="single" w:sz="4" w:space="0" w:color="auto"/>
            </w:tcBorders>
            <w:noWrap/>
            <w:vAlign w:val="bottom"/>
            <w:hideMark/>
          </w:tcPr>
          <w:p w14:paraId="7D1736F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65%</w:t>
            </w:r>
          </w:p>
        </w:tc>
        <w:tc>
          <w:tcPr>
            <w:tcW w:w="960" w:type="dxa"/>
            <w:tcBorders>
              <w:top w:val="nil"/>
              <w:left w:val="nil"/>
              <w:bottom w:val="single" w:sz="4" w:space="0" w:color="auto"/>
              <w:right w:val="single" w:sz="4" w:space="0" w:color="auto"/>
            </w:tcBorders>
            <w:noWrap/>
            <w:vAlign w:val="bottom"/>
            <w:hideMark/>
          </w:tcPr>
          <w:p w14:paraId="7EA5387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95%</w:t>
            </w:r>
          </w:p>
        </w:tc>
        <w:tc>
          <w:tcPr>
            <w:tcW w:w="960" w:type="dxa"/>
            <w:tcBorders>
              <w:top w:val="nil"/>
              <w:left w:val="nil"/>
              <w:bottom w:val="single" w:sz="4" w:space="0" w:color="auto"/>
              <w:right w:val="single" w:sz="8" w:space="0" w:color="auto"/>
            </w:tcBorders>
            <w:noWrap/>
            <w:vAlign w:val="bottom"/>
            <w:hideMark/>
          </w:tcPr>
          <w:p w14:paraId="2373FBA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83%</w:t>
            </w:r>
          </w:p>
        </w:tc>
      </w:tr>
      <w:tr w:rsidR="00B63BF2" w:rsidRPr="00756375" w14:paraId="7313FAEA"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7BC8647E"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Other</w:t>
            </w:r>
          </w:p>
        </w:tc>
        <w:tc>
          <w:tcPr>
            <w:tcW w:w="960" w:type="dxa"/>
            <w:tcBorders>
              <w:top w:val="nil"/>
              <w:left w:val="nil"/>
              <w:bottom w:val="single" w:sz="4" w:space="0" w:color="auto"/>
              <w:right w:val="single" w:sz="4" w:space="0" w:color="auto"/>
            </w:tcBorders>
            <w:noWrap/>
            <w:vAlign w:val="bottom"/>
            <w:hideMark/>
          </w:tcPr>
          <w:p w14:paraId="51C43A0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65%</w:t>
            </w:r>
          </w:p>
        </w:tc>
        <w:tc>
          <w:tcPr>
            <w:tcW w:w="960" w:type="dxa"/>
            <w:tcBorders>
              <w:top w:val="nil"/>
              <w:left w:val="nil"/>
              <w:bottom w:val="single" w:sz="4" w:space="0" w:color="auto"/>
              <w:right w:val="single" w:sz="4" w:space="0" w:color="auto"/>
            </w:tcBorders>
            <w:noWrap/>
            <w:vAlign w:val="bottom"/>
            <w:hideMark/>
          </w:tcPr>
          <w:p w14:paraId="6FF2C29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57%</w:t>
            </w:r>
          </w:p>
        </w:tc>
        <w:tc>
          <w:tcPr>
            <w:tcW w:w="960" w:type="dxa"/>
            <w:tcBorders>
              <w:top w:val="nil"/>
              <w:left w:val="nil"/>
              <w:bottom w:val="single" w:sz="4" w:space="0" w:color="auto"/>
              <w:right w:val="single" w:sz="4" w:space="0" w:color="auto"/>
            </w:tcBorders>
            <w:noWrap/>
            <w:vAlign w:val="bottom"/>
            <w:hideMark/>
          </w:tcPr>
          <w:p w14:paraId="4F1FB621"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75%</w:t>
            </w:r>
          </w:p>
        </w:tc>
        <w:tc>
          <w:tcPr>
            <w:tcW w:w="960" w:type="dxa"/>
            <w:tcBorders>
              <w:top w:val="nil"/>
              <w:left w:val="nil"/>
              <w:bottom w:val="single" w:sz="4" w:space="0" w:color="auto"/>
              <w:right w:val="single" w:sz="4" w:space="0" w:color="auto"/>
            </w:tcBorders>
            <w:noWrap/>
            <w:vAlign w:val="bottom"/>
            <w:hideMark/>
          </w:tcPr>
          <w:p w14:paraId="0E9AEE54"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81%</w:t>
            </w:r>
          </w:p>
        </w:tc>
        <w:tc>
          <w:tcPr>
            <w:tcW w:w="960" w:type="dxa"/>
            <w:tcBorders>
              <w:top w:val="nil"/>
              <w:left w:val="nil"/>
              <w:bottom w:val="single" w:sz="4" w:space="0" w:color="auto"/>
              <w:right w:val="single" w:sz="4" w:space="0" w:color="auto"/>
            </w:tcBorders>
            <w:noWrap/>
            <w:vAlign w:val="bottom"/>
            <w:hideMark/>
          </w:tcPr>
          <w:p w14:paraId="68B5B3ED"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c>
          <w:tcPr>
            <w:tcW w:w="960" w:type="dxa"/>
            <w:tcBorders>
              <w:top w:val="nil"/>
              <w:left w:val="nil"/>
              <w:bottom w:val="single" w:sz="4" w:space="0" w:color="auto"/>
              <w:right w:val="single" w:sz="4" w:space="0" w:color="auto"/>
            </w:tcBorders>
            <w:noWrap/>
            <w:vAlign w:val="bottom"/>
            <w:hideMark/>
          </w:tcPr>
          <w:p w14:paraId="1DC479C5"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8" w:space="0" w:color="auto"/>
            </w:tcBorders>
            <w:noWrap/>
            <w:vAlign w:val="bottom"/>
            <w:hideMark/>
          </w:tcPr>
          <w:p w14:paraId="158038E9"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73%</w:t>
            </w:r>
          </w:p>
        </w:tc>
      </w:tr>
      <w:tr w:rsidR="00B63BF2" w:rsidRPr="00756375" w14:paraId="57A76215" w14:textId="77777777" w:rsidTr="00B63BF2">
        <w:trPr>
          <w:trHeight w:val="300"/>
        </w:trPr>
        <w:tc>
          <w:tcPr>
            <w:tcW w:w="2180" w:type="dxa"/>
            <w:tcBorders>
              <w:top w:val="nil"/>
              <w:left w:val="single" w:sz="8" w:space="0" w:color="auto"/>
              <w:bottom w:val="single" w:sz="4" w:space="0" w:color="auto"/>
              <w:right w:val="single" w:sz="4" w:space="0" w:color="auto"/>
            </w:tcBorders>
            <w:noWrap/>
            <w:vAlign w:val="bottom"/>
            <w:hideMark/>
          </w:tcPr>
          <w:p w14:paraId="608DCCA8" w14:textId="77777777" w:rsidR="00B63BF2" w:rsidRPr="00756375" w:rsidRDefault="00B63BF2" w:rsidP="00B63BF2">
            <w:pPr>
              <w:widowControl/>
              <w:ind w:right="0"/>
              <w:rPr>
                <w:rFonts w:ascii="Aptos Narrow" w:eastAsia="Times New Roman" w:hAnsi="Aptos Narrow"/>
                <w:spacing w:val="0"/>
                <w:sz w:val="24"/>
                <w:szCs w:val="24"/>
              </w:rPr>
            </w:pPr>
            <w:r w:rsidRPr="00756375">
              <w:rPr>
                <w:rFonts w:ascii="Aptos Narrow" w:eastAsia="Times New Roman" w:hAnsi="Aptos Narrow"/>
                <w:spacing w:val="0"/>
                <w:sz w:val="24"/>
                <w:szCs w:val="24"/>
              </w:rPr>
              <w:t>White</w:t>
            </w:r>
          </w:p>
        </w:tc>
        <w:tc>
          <w:tcPr>
            <w:tcW w:w="960" w:type="dxa"/>
            <w:tcBorders>
              <w:top w:val="nil"/>
              <w:left w:val="nil"/>
              <w:bottom w:val="single" w:sz="4" w:space="0" w:color="auto"/>
              <w:right w:val="single" w:sz="4" w:space="0" w:color="auto"/>
            </w:tcBorders>
            <w:noWrap/>
            <w:vAlign w:val="bottom"/>
            <w:hideMark/>
          </w:tcPr>
          <w:p w14:paraId="3AF1275E"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4" w:space="0" w:color="auto"/>
            </w:tcBorders>
            <w:noWrap/>
            <w:vAlign w:val="bottom"/>
            <w:hideMark/>
          </w:tcPr>
          <w:p w14:paraId="50800EEC"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71%</w:t>
            </w:r>
          </w:p>
        </w:tc>
        <w:tc>
          <w:tcPr>
            <w:tcW w:w="960" w:type="dxa"/>
            <w:tcBorders>
              <w:top w:val="nil"/>
              <w:left w:val="nil"/>
              <w:bottom w:val="single" w:sz="4" w:space="0" w:color="auto"/>
              <w:right w:val="single" w:sz="4" w:space="0" w:color="auto"/>
            </w:tcBorders>
            <w:noWrap/>
            <w:vAlign w:val="bottom"/>
            <w:hideMark/>
          </w:tcPr>
          <w:p w14:paraId="5BC9626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74%</w:t>
            </w:r>
          </w:p>
        </w:tc>
        <w:tc>
          <w:tcPr>
            <w:tcW w:w="960" w:type="dxa"/>
            <w:tcBorders>
              <w:top w:val="nil"/>
              <w:left w:val="nil"/>
              <w:bottom w:val="single" w:sz="4" w:space="0" w:color="auto"/>
              <w:right w:val="single" w:sz="4" w:space="0" w:color="auto"/>
            </w:tcBorders>
            <w:noWrap/>
            <w:vAlign w:val="bottom"/>
            <w:hideMark/>
          </w:tcPr>
          <w:p w14:paraId="57D0EE1F"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70%</w:t>
            </w:r>
          </w:p>
        </w:tc>
        <w:tc>
          <w:tcPr>
            <w:tcW w:w="960" w:type="dxa"/>
            <w:tcBorders>
              <w:top w:val="nil"/>
              <w:left w:val="nil"/>
              <w:bottom w:val="single" w:sz="4" w:space="0" w:color="auto"/>
              <w:right w:val="single" w:sz="4" w:space="0" w:color="auto"/>
            </w:tcBorders>
            <w:noWrap/>
            <w:vAlign w:val="bottom"/>
            <w:hideMark/>
          </w:tcPr>
          <w:p w14:paraId="054BF9E6"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68%</w:t>
            </w:r>
          </w:p>
        </w:tc>
        <w:tc>
          <w:tcPr>
            <w:tcW w:w="960" w:type="dxa"/>
            <w:tcBorders>
              <w:top w:val="nil"/>
              <w:left w:val="nil"/>
              <w:bottom w:val="single" w:sz="4" w:space="0" w:color="auto"/>
              <w:right w:val="single" w:sz="4" w:space="0" w:color="auto"/>
            </w:tcBorders>
            <w:noWrap/>
            <w:vAlign w:val="bottom"/>
            <w:hideMark/>
          </w:tcPr>
          <w:p w14:paraId="4EBEAFD7"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72%</w:t>
            </w:r>
          </w:p>
        </w:tc>
        <w:tc>
          <w:tcPr>
            <w:tcW w:w="960" w:type="dxa"/>
            <w:tcBorders>
              <w:top w:val="nil"/>
              <w:left w:val="nil"/>
              <w:bottom w:val="single" w:sz="4" w:space="0" w:color="auto"/>
              <w:right w:val="single" w:sz="8" w:space="0" w:color="auto"/>
            </w:tcBorders>
            <w:noWrap/>
            <w:vAlign w:val="bottom"/>
            <w:hideMark/>
          </w:tcPr>
          <w:p w14:paraId="046CA94B" w14:textId="77777777" w:rsidR="00B63BF2" w:rsidRPr="00756375" w:rsidRDefault="00B63BF2" w:rsidP="00B63BF2">
            <w:pPr>
              <w:widowControl/>
              <w:ind w:right="0"/>
              <w:jc w:val="right"/>
              <w:rPr>
                <w:rFonts w:ascii="Aptos Narrow" w:eastAsia="Times New Roman" w:hAnsi="Aptos Narrow"/>
                <w:spacing w:val="0"/>
                <w:sz w:val="24"/>
                <w:szCs w:val="24"/>
              </w:rPr>
            </w:pPr>
            <w:r w:rsidRPr="00756375">
              <w:rPr>
                <w:rFonts w:ascii="Aptos Narrow" w:eastAsia="Times New Roman" w:hAnsi="Aptos Narrow"/>
                <w:spacing w:val="0"/>
                <w:sz w:val="24"/>
                <w:szCs w:val="24"/>
              </w:rPr>
              <w:t>69%</w:t>
            </w:r>
          </w:p>
        </w:tc>
      </w:tr>
      <w:tr w:rsidR="00B63BF2" w:rsidRPr="00756375" w14:paraId="1D19B253" w14:textId="77777777" w:rsidTr="00B63BF2">
        <w:trPr>
          <w:trHeight w:val="315"/>
        </w:trPr>
        <w:tc>
          <w:tcPr>
            <w:tcW w:w="2180" w:type="dxa"/>
            <w:tcBorders>
              <w:top w:val="nil"/>
              <w:left w:val="single" w:sz="8" w:space="0" w:color="auto"/>
              <w:bottom w:val="single" w:sz="8" w:space="0" w:color="auto"/>
              <w:right w:val="single" w:sz="4" w:space="0" w:color="auto"/>
            </w:tcBorders>
            <w:shd w:val="clear" w:color="000000" w:fill="FFC000"/>
            <w:noWrap/>
            <w:vAlign w:val="bottom"/>
            <w:hideMark/>
          </w:tcPr>
          <w:p w14:paraId="4B6AB68A" w14:textId="77777777" w:rsidR="00B63BF2" w:rsidRPr="00756375" w:rsidRDefault="00B63BF2" w:rsidP="00B63BF2">
            <w:pPr>
              <w:widowControl/>
              <w:ind w:right="0"/>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Overall</w:t>
            </w:r>
          </w:p>
        </w:tc>
        <w:tc>
          <w:tcPr>
            <w:tcW w:w="960" w:type="dxa"/>
            <w:tcBorders>
              <w:top w:val="nil"/>
              <w:left w:val="nil"/>
              <w:bottom w:val="single" w:sz="8" w:space="0" w:color="auto"/>
              <w:right w:val="single" w:sz="4" w:space="0" w:color="auto"/>
            </w:tcBorders>
            <w:shd w:val="clear" w:color="000000" w:fill="FFC000"/>
            <w:noWrap/>
            <w:vAlign w:val="bottom"/>
            <w:hideMark/>
          </w:tcPr>
          <w:p w14:paraId="57E9B01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68%</w:t>
            </w:r>
          </w:p>
        </w:tc>
        <w:tc>
          <w:tcPr>
            <w:tcW w:w="960" w:type="dxa"/>
            <w:tcBorders>
              <w:top w:val="nil"/>
              <w:left w:val="nil"/>
              <w:bottom w:val="single" w:sz="8" w:space="0" w:color="auto"/>
              <w:right w:val="single" w:sz="4" w:space="0" w:color="auto"/>
            </w:tcBorders>
            <w:shd w:val="clear" w:color="000000" w:fill="FFC000"/>
            <w:noWrap/>
            <w:vAlign w:val="bottom"/>
            <w:hideMark/>
          </w:tcPr>
          <w:p w14:paraId="3B1521AC"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8" w:space="0" w:color="auto"/>
              <w:right w:val="single" w:sz="4" w:space="0" w:color="auto"/>
            </w:tcBorders>
            <w:shd w:val="clear" w:color="000000" w:fill="FFC000"/>
            <w:noWrap/>
            <w:vAlign w:val="bottom"/>
            <w:hideMark/>
          </w:tcPr>
          <w:p w14:paraId="34B9899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65%</w:t>
            </w:r>
          </w:p>
        </w:tc>
        <w:tc>
          <w:tcPr>
            <w:tcW w:w="960" w:type="dxa"/>
            <w:tcBorders>
              <w:top w:val="nil"/>
              <w:left w:val="nil"/>
              <w:bottom w:val="single" w:sz="8" w:space="0" w:color="auto"/>
              <w:right w:val="single" w:sz="4" w:space="0" w:color="auto"/>
            </w:tcBorders>
            <w:shd w:val="clear" w:color="000000" w:fill="FFC000"/>
            <w:noWrap/>
            <w:vAlign w:val="bottom"/>
            <w:hideMark/>
          </w:tcPr>
          <w:p w14:paraId="4CE14CD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68%</w:t>
            </w:r>
          </w:p>
        </w:tc>
        <w:tc>
          <w:tcPr>
            <w:tcW w:w="960" w:type="dxa"/>
            <w:tcBorders>
              <w:top w:val="nil"/>
              <w:left w:val="nil"/>
              <w:bottom w:val="single" w:sz="8" w:space="0" w:color="auto"/>
              <w:right w:val="single" w:sz="4" w:space="0" w:color="auto"/>
            </w:tcBorders>
            <w:shd w:val="clear" w:color="000000" w:fill="FFC000"/>
            <w:noWrap/>
            <w:vAlign w:val="bottom"/>
            <w:hideMark/>
          </w:tcPr>
          <w:p w14:paraId="7A4D90CB"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67%</w:t>
            </w:r>
          </w:p>
        </w:tc>
        <w:tc>
          <w:tcPr>
            <w:tcW w:w="960" w:type="dxa"/>
            <w:tcBorders>
              <w:top w:val="nil"/>
              <w:left w:val="nil"/>
              <w:bottom w:val="single" w:sz="8" w:space="0" w:color="auto"/>
              <w:right w:val="single" w:sz="4" w:space="0" w:color="auto"/>
            </w:tcBorders>
            <w:shd w:val="clear" w:color="000000" w:fill="FFC000"/>
            <w:noWrap/>
            <w:vAlign w:val="bottom"/>
            <w:hideMark/>
          </w:tcPr>
          <w:p w14:paraId="0CB8C0E6"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c>
          <w:tcPr>
            <w:tcW w:w="960" w:type="dxa"/>
            <w:tcBorders>
              <w:top w:val="nil"/>
              <w:left w:val="nil"/>
              <w:bottom w:val="single" w:sz="8" w:space="0" w:color="auto"/>
              <w:right w:val="single" w:sz="8" w:space="0" w:color="auto"/>
            </w:tcBorders>
            <w:shd w:val="clear" w:color="000000" w:fill="FFC000"/>
            <w:noWrap/>
            <w:vAlign w:val="bottom"/>
            <w:hideMark/>
          </w:tcPr>
          <w:p w14:paraId="26CCE27E" w14:textId="77777777" w:rsidR="00B63BF2" w:rsidRPr="00756375" w:rsidRDefault="00B63BF2" w:rsidP="00B63BF2">
            <w:pPr>
              <w:widowControl/>
              <w:ind w:right="0"/>
              <w:jc w:val="right"/>
              <w:rPr>
                <w:rFonts w:ascii="Aptos Narrow" w:eastAsia="Times New Roman" w:hAnsi="Aptos Narrow"/>
                <w:b/>
                <w:bCs/>
                <w:spacing w:val="0"/>
                <w:sz w:val="24"/>
                <w:szCs w:val="24"/>
              </w:rPr>
            </w:pPr>
            <w:r w:rsidRPr="00756375">
              <w:rPr>
                <w:rFonts w:ascii="Aptos Narrow" w:eastAsia="Times New Roman" w:hAnsi="Aptos Narrow"/>
                <w:b/>
                <w:bCs/>
                <w:spacing w:val="0"/>
                <w:sz w:val="24"/>
                <w:szCs w:val="24"/>
              </w:rPr>
              <w:t>69%</w:t>
            </w:r>
          </w:p>
        </w:tc>
      </w:tr>
    </w:tbl>
    <w:p w14:paraId="1E5A9BCF" w14:textId="77777777" w:rsidR="00B63BF2" w:rsidRPr="00756375" w:rsidRDefault="00B63BF2" w:rsidP="00706E3A">
      <w:pPr>
        <w:rPr>
          <w:sz w:val="24"/>
          <w:szCs w:val="24"/>
        </w:rPr>
      </w:pPr>
    </w:p>
    <w:p w14:paraId="1AB853A8" w14:textId="37C1EC71" w:rsidR="00706E3A" w:rsidRPr="00756375" w:rsidRDefault="00B63BF2" w:rsidP="00B63BF2">
      <w:pPr>
        <w:rPr>
          <w:sz w:val="24"/>
          <w:szCs w:val="24"/>
        </w:rPr>
      </w:pPr>
      <w:r w:rsidRPr="00756375">
        <w:rPr>
          <w:sz w:val="24"/>
          <w:szCs w:val="24"/>
        </w:rPr>
        <w:t>In addition to these improvements, there are other positive trends: Hispanic students</w:t>
      </w:r>
      <w:r w:rsidR="00BE2EAE" w:rsidRPr="00756375">
        <w:rPr>
          <w:sz w:val="24"/>
          <w:szCs w:val="24"/>
        </w:rPr>
        <w:t xml:space="preserve"> in the EOPS </w:t>
      </w:r>
      <w:r w:rsidR="00BE2EAE" w:rsidRPr="00756375">
        <w:rPr>
          <w:sz w:val="24"/>
          <w:szCs w:val="24"/>
        </w:rPr>
        <w:lastRenderedPageBreak/>
        <w:t>program</w:t>
      </w:r>
      <w:r w:rsidRPr="00756375">
        <w:rPr>
          <w:sz w:val="24"/>
          <w:szCs w:val="24"/>
        </w:rPr>
        <w:t xml:space="preserve"> consistently outperform other groups in course success rates, and dual enrollment students continue to show strong achievement outcomes, highlighting the effectiveness of these initiatives. To further support this progress, the College is expanding resources for online learning, increasing outreach to underserved groups, and enhancing support for programs like EOPS. Taft College remains committed to closing equity gaps through data-driven strategies and continuous efforts to ensure all students have the resources they need to succeed.</w:t>
      </w:r>
    </w:p>
    <w:p w14:paraId="71642D70" w14:textId="77777777" w:rsidR="00B63BF2" w:rsidRPr="00756375" w:rsidRDefault="00B63BF2" w:rsidP="00B63BF2">
      <w:pPr>
        <w:rPr>
          <w:sz w:val="24"/>
          <w:szCs w:val="24"/>
        </w:rPr>
      </w:pPr>
    </w:p>
    <w:p w14:paraId="6E2F2D82" w14:textId="6A1B157B" w:rsidR="00706E3A" w:rsidRPr="00756375" w:rsidRDefault="00517188" w:rsidP="0038790E">
      <w:pPr>
        <w:ind w:left="360" w:hanging="360"/>
        <w:rPr>
          <w:b/>
          <w:bCs/>
          <w:sz w:val="24"/>
          <w:szCs w:val="24"/>
        </w:rPr>
      </w:pPr>
      <w:r w:rsidRPr="00756375">
        <w:rPr>
          <w:b/>
          <w:bCs/>
          <w:sz w:val="24"/>
          <w:szCs w:val="24"/>
        </w:rPr>
        <w:t>3.</w:t>
      </w:r>
      <w:r w:rsidR="00706E3A" w:rsidRPr="00756375">
        <w:rPr>
          <w:b/>
          <w:bCs/>
          <w:sz w:val="24"/>
          <w:szCs w:val="24"/>
        </w:rPr>
        <w:tab/>
      </w:r>
      <w:r w:rsidR="008109ED" w:rsidRPr="00756375">
        <w:rPr>
          <w:b/>
          <w:bCs/>
          <w:sz w:val="24"/>
          <w:szCs w:val="24"/>
        </w:rPr>
        <w:t xml:space="preserve">What </w:t>
      </w:r>
      <w:r w:rsidR="00706E3A" w:rsidRPr="00756375">
        <w:rPr>
          <w:b/>
          <w:bCs/>
          <w:sz w:val="24"/>
          <w:szCs w:val="24"/>
        </w:rPr>
        <w:t xml:space="preserve">actions has your institution taken/is your institution taking in response to the patterns and trends discussed above? </w:t>
      </w:r>
      <w:r w:rsidR="00C3363B" w:rsidRPr="00756375">
        <w:rPr>
          <w:b/>
          <w:bCs/>
          <w:sz w:val="24"/>
          <w:szCs w:val="24"/>
        </w:rPr>
        <w:t xml:space="preserve">How will you monitor </w:t>
      </w:r>
      <w:r w:rsidR="00B001FD" w:rsidRPr="00756375">
        <w:rPr>
          <w:b/>
          <w:bCs/>
          <w:sz w:val="24"/>
          <w:szCs w:val="24"/>
        </w:rPr>
        <w:t xml:space="preserve">the results of </w:t>
      </w:r>
      <w:r w:rsidR="00C3363B" w:rsidRPr="00756375">
        <w:rPr>
          <w:b/>
          <w:bCs/>
          <w:sz w:val="24"/>
          <w:szCs w:val="24"/>
        </w:rPr>
        <w:t>these actions</w:t>
      </w:r>
      <w:r w:rsidR="00B001FD" w:rsidRPr="00756375">
        <w:rPr>
          <w:b/>
          <w:bCs/>
          <w:sz w:val="24"/>
          <w:szCs w:val="24"/>
        </w:rPr>
        <w:t xml:space="preserve"> in order to inform future improvements and innovations in support of equitable student achievement</w:t>
      </w:r>
      <w:r w:rsidR="00C3363B" w:rsidRPr="00756375">
        <w:rPr>
          <w:b/>
          <w:bCs/>
          <w:sz w:val="24"/>
          <w:szCs w:val="24"/>
        </w:rPr>
        <w:t>?</w:t>
      </w:r>
    </w:p>
    <w:p w14:paraId="25C5BF11" w14:textId="77777777" w:rsidR="00FA7134" w:rsidRPr="00756375" w:rsidRDefault="00FA7134" w:rsidP="00FA7134">
      <w:pPr>
        <w:rPr>
          <w:sz w:val="24"/>
          <w:szCs w:val="24"/>
          <w:highlight w:val="yellow"/>
        </w:rPr>
      </w:pPr>
    </w:p>
    <w:p w14:paraId="6D0DDC14" w14:textId="09F2D562" w:rsidR="00006570" w:rsidRPr="00756375" w:rsidRDefault="00006570" w:rsidP="00006570">
      <w:pPr>
        <w:rPr>
          <w:sz w:val="24"/>
          <w:szCs w:val="24"/>
        </w:rPr>
      </w:pPr>
      <w:r w:rsidRPr="00756375">
        <w:rPr>
          <w:sz w:val="24"/>
          <w:szCs w:val="24"/>
        </w:rPr>
        <w:t xml:space="preserve">Taft College continues to prioritize the use of disaggregated data to identify and address equity gaps in student achievement. In response to the trends observed—particularly among Hispanic students—the College has implemented several targeted initiatives. These include the annual </w:t>
      </w:r>
      <w:hyperlink r:id="rId32" w:history="1">
        <w:r w:rsidR="00BE2EAE" w:rsidRPr="00756375">
          <w:rPr>
            <w:rStyle w:val="Hyperlink"/>
            <w:sz w:val="24"/>
            <w:szCs w:val="24"/>
          </w:rPr>
          <w:t>Latinx Graduation Celebration</w:t>
        </w:r>
      </w:hyperlink>
      <w:r w:rsidRPr="00756375">
        <w:rPr>
          <w:sz w:val="24"/>
          <w:szCs w:val="24"/>
        </w:rPr>
        <w:t xml:space="preserve">, which promotes engagement by featuring culturally relevant speakers and success stories, as well as “Communication </w:t>
      </w:r>
      <w:r w:rsidR="007A5AA1">
        <w:rPr>
          <w:sz w:val="24"/>
          <w:szCs w:val="24"/>
        </w:rPr>
        <w:t>Cafe</w:t>
      </w:r>
      <w:r w:rsidRPr="00756375">
        <w:rPr>
          <w:sz w:val="24"/>
          <w:szCs w:val="24"/>
        </w:rPr>
        <w:t>”</w:t>
      </w:r>
      <w:r w:rsidR="00547335" w:rsidRPr="00756375">
        <w:rPr>
          <w:sz w:val="24"/>
          <w:szCs w:val="24"/>
        </w:rPr>
        <w:t xml:space="preserve"> (</w:t>
      </w:r>
      <w:hyperlink r:id="rId33" w:history="1">
        <w:r w:rsidR="000E217E" w:rsidRPr="00756375">
          <w:rPr>
            <w:rStyle w:val="Hyperlink"/>
            <w:sz w:val="24"/>
            <w:szCs w:val="24"/>
          </w:rPr>
          <w:t>Communication Cafe.pdf</w:t>
        </w:r>
      </w:hyperlink>
      <w:r w:rsidR="000B1B16" w:rsidRPr="00756375">
        <w:rPr>
          <w:sz w:val="24"/>
          <w:szCs w:val="24"/>
        </w:rPr>
        <w:t>)</w:t>
      </w:r>
      <w:r w:rsidRPr="00756375">
        <w:rPr>
          <w:sz w:val="24"/>
          <w:szCs w:val="24"/>
        </w:rPr>
        <w:t xml:space="preserve"> sessions </w:t>
      </w:r>
      <w:bookmarkStart w:id="9" w:name="_Hlk208934683"/>
      <w:r w:rsidR="007A5AA1">
        <w:rPr>
          <w:sz w:val="24"/>
          <w:szCs w:val="24"/>
        </w:rPr>
        <w:t xml:space="preserve">held over lunch </w:t>
      </w:r>
      <w:r w:rsidRPr="00756375">
        <w:rPr>
          <w:sz w:val="24"/>
          <w:szCs w:val="24"/>
        </w:rPr>
        <w:t xml:space="preserve">to </w:t>
      </w:r>
      <w:r w:rsidR="007A5AA1">
        <w:rPr>
          <w:sz w:val="24"/>
          <w:szCs w:val="24"/>
        </w:rPr>
        <w:t>provide students with an informal setting in which to practice English speaking skills</w:t>
      </w:r>
      <w:r w:rsidRPr="00756375">
        <w:rPr>
          <w:sz w:val="24"/>
          <w:szCs w:val="24"/>
        </w:rPr>
        <w:t>.</w:t>
      </w:r>
      <w:bookmarkEnd w:id="9"/>
    </w:p>
    <w:p w14:paraId="71CCD7C2" w14:textId="77777777" w:rsidR="00006570" w:rsidRPr="00756375" w:rsidRDefault="00006570" w:rsidP="00006570">
      <w:pPr>
        <w:rPr>
          <w:sz w:val="24"/>
          <w:szCs w:val="24"/>
        </w:rPr>
      </w:pPr>
    </w:p>
    <w:p w14:paraId="47C0D12B" w14:textId="14DD9E0A" w:rsidR="00006570" w:rsidRPr="00756375" w:rsidRDefault="00006570" w:rsidP="00006570">
      <w:pPr>
        <w:rPr>
          <w:sz w:val="24"/>
          <w:szCs w:val="24"/>
        </w:rPr>
      </w:pPr>
      <w:r w:rsidRPr="00756375">
        <w:rPr>
          <w:sz w:val="24"/>
          <w:szCs w:val="24"/>
        </w:rPr>
        <w:t>In addition, the College is expanding professional development opportunities for faculty and staff, with a focus on culturally responsive teaching and equity-minded practices</w:t>
      </w:r>
      <w:r w:rsidR="00BC22A1" w:rsidRPr="00756375">
        <w:rPr>
          <w:sz w:val="24"/>
          <w:szCs w:val="24"/>
        </w:rPr>
        <w:t xml:space="preserve"> (</w:t>
      </w:r>
      <w:hyperlink r:id="rId34" w:history="1">
        <w:r w:rsidR="00BC22A1" w:rsidRPr="00756375">
          <w:rPr>
            <w:rStyle w:val="Hyperlink"/>
            <w:sz w:val="24"/>
            <w:szCs w:val="24"/>
          </w:rPr>
          <w:t>Fall 2024 Inservice - inclusive Teaching Practices.xlsx</w:t>
        </w:r>
      </w:hyperlink>
      <w:r w:rsidR="00BC22A1" w:rsidRPr="00756375">
        <w:rPr>
          <w:sz w:val="24"/>
          <w:szCs w:val="24"/>
        </w:rPr>
        <w:t>)</w:t>
      </w:r>
      <w:r w:rsidRPr="00756375">
        <w:rPr>
          <w:sz w:val="24"/>
          <w:szCs w:val="24"/>
        </w:rPr>
        <w:t>. These efforts aim to foster more inclusive classrooms and improve educational experiences for disproportionately impacted students.</w:t>
      </w:r>
    </w:p>
    <w:p w14:paraId="0BC14EE6" w14:textId="03B28383" w:rsidR="00530C9A" w:rsidRPr="00756375" w:rsidRDefault="00530C9A" w:rsidP="00530C9A">
      <w:pPr>
        <w:rPr>
          <w:sz w:val="24"/>
          <w:szCs w:val="24"/>
        </w:rPr>
      </w:pPr>
    </w:p>
    <w:p w14:paraId="05AEE156" w14:textId="7C78C3F3" w:rsidR="00950CE4" w:rsidRPr="00756375" w:rsidRDefault="00B93580" w:rsidP="00FA7134">
      <w:pPr>
        <w:rPr>
          <w:sz w:val="24"/>
          <w:szCs w:val="24"/>
        </w:rPr>
      </w:pPr>
      <w:r w:rsidRPr="00756375">
        <w:rPr>
          <w:sz w:val="24"/>
          <w:szCs w:val="24"/>
        </w:rPr>
        <w:t>To evaluate the effectiveness of these initiatives, the College monitors student outcome data—including course completion, retention, and degree attainment—while also collecting student feedback on their academic experience to guide improvements and better support student success. For example, the Strategic Enrollment Management Committee (SEMCOM) conducts an annual student survey, and the results are shared with faculty, staff, and college leadership (</w:t>
      </w:r>
      <w:hyperlink r:id="rId35" w:history="1">
        <w:r w:rsidRPr="00756375">
          <w:rPr>
            <w:rStyle w:val="Hyperlink"/>
            <w:sz w:val="24"/>
            <w:szCs w:val="24"/>
          </w:rPr>
          <w:t>Survey Results - Findings Presentation</w:t>
        </w:r>
      </w:hyperlink>
      <w:r w:rsidRPr="00756375">
        <w:rPr>
          <w:sz w:val="24"/>
          <w:szCs w:val="24"/>
        </w:rPr>
        <w:t>).</w:t>
      </w:r>
      <w:r w:rsidR="00006570" w:rsidRPr="00756375">
        <w:rPr>
          <w:sz w:val="24"/>
          <w:szCs w:val="24"/>
        </w:rPr>
        <w:t xml:space="preserve"> The SPC and SEMCOM regularly review disaggregated student outcome data and share findings with the Academic Senate and other campus governance groups to ensure broad institutional engagement</w:t>
      </w:r>
      <w:r w:rsidR="004A4B76" w:rsidRPr="00756375">
        <w:rPr>
          <w:sz w:val="24"/>
          <w:szCs w:val="24"/>
        </w:rPr>
        <w:t xml:space="preserve"> (</w:t>
      </w:r>
      <w:hyperlink r:id="rId36" w:history="1">
        <w:r w:rsidR="004A4B76" w:rsidRPr="00756375">
          <w:rPr>
            <w:rStyle w:val="Hyperlink"/>
            <w:sz w:val="24"/>
            <w:szCs w:val="24"/>
          </w:rPr>
          <w:t>Strategic Action Plan Data Updates</w:t>
        </w:r>
      </w:hyperlink>
      <w:r w:rsidR="004A4B76" w:rsidRPr="00756375">
        <w:rPr>
          <w:sz w:val="24"/>
          <w:szCs w:val="24"/>
        </w:rPr>
        <w:t>)</w:t>
      </w:r>
      <w:r w:rsidR="00006570" w:rsidRPr="00756375">
        <w:rPr>
          <w:sz w:val="24"/>
          <w:szCs w:val="24"/>
        </w:rPr>
        <w:t>. In addition, the College’s Strategic Action Plan incorporates these data insights and presents outcomes to the Board of Trustees, reinforcing transparency and accountability</w:t>
      </w:r>
      <w:r w:rsidR="000B1B16" w:rsidRPr="00756375">
        <w:rPr>
          <w:sz w:val="24"/>
          <w:szCs w:val="24"/>
        </w:rPr>
        <w:t xml:space="preserve"> </w:t>
      </w:r>
      <w:r w:rsidR="004A4B76" w:rsidRPr="00756375">
        <w:rPr>
          <w:sz w:val="24"/>
          <w:szCs w:val="24"/>
        </w:rPr>
        <w:t>(</w:t>
      </w:r>
      <w:hyperlink r:id="rId37" w:history="1">
        <w:r w:rsidR="004A4B76" w:rsidRPr="00756375">
          <w:rPr>
            <w:rStyle w:val="Hyperlink"/>
            <w:sz w:val="24"/>
            <w:szCs w:val="24"/>
          </w:rPr>
          <w:t>Board Meeting Minutes - Strategic Action Plan Data Update</w:t>
        </w:r>
      </w:hyperlink>
      <w:r w:rsidR="004A4B76" w:rsidRPr="00756375">
        <w:rPr>
          <w:sz w:val="24"/>
          <w:szCs w:val="24"/>
        </w:rPr>
        <w:t xml:space="preserve">)  </w:t>
      </w:r>
      <w:r w:rsidRPr="00756375">
        <w:rPr>
          <w:sz w:val="24"/>
          <w:szCs w:val="24"/>
        </w:rPr>
        <w:t>.</w:t>
      </w:r>
      <w:r w:rsidR="00006570" w:rsidRPr="00756375">
        <w:rPr>
          <w:sz w:val="24"/>
          <w:szCs w:val="24"/>
        </w:rPr>
        <w:t xml:space="preserve"> These continuous review processes help ensure that Taft College’s equity-driven strategies remain responsive, data-informed, and aligned with institutional goals for student success.</w:t>
      </w:r>
    </w:p>
    <w:p w14:paraId="0EB36176" w14:textId="77777777" w:rsidR="00950CE4" w:rsidRPr="00756375" w:rsidRDefault="00950CE4" w:rsidP="00FA7134">
      <w:pPr>
        <w:rPr>
          <w:sz w:val="24"/>
          <w:szCs w:val="24"/>
        </w:rPr>
      </w:pPr>
    </w:p>
    <w:p w14:paraId="14330E95" w14:textId="133BDB1B" w:rsidR="00B001FD" w:rsidRPr="00756375" w:rsidRDefault="00B001FD" w:rsidP="0038790E">
      <w:pPr>
        <w:pStyle w:val="Heading1"/>
        <w:rPr>
          <w:sz w:val="24"/>
          <w:szCs w:val="24"/>
        </w:rPr>
      </w:pPr>
      <w:bookmarkStart w:id="10" w:name="_Toc156943182"/>
      <w:r w:rsidRPr="00756375">
        <w:rPr>
          <w:sz w:val="24"/>
          <w:szCs w:val="24"/>
        </w:rPr>
        <w:t>Reflections on Assessments of Student Learning</w:t>
      </w:r>
      <w:bookmarkEnd w:id="10"/>
    </w:p>
    <w:p w14:paraId="038BE6F6" w14:textId="6CEE6B22" w:rsidR="001E3BB0" w:rsidRPr="00756375" w:rsidRDefault="001E3BB0" w:rsidP="001E3BB0">
      <w:pPr>
        <w:rPr>
          <w:sz w:val="24"/>
          <w:szCs w:val="24"/>
        </w:rPr>
      </w:pPr>
      <w:r w:rsidRPr="00756375">
        <w:rPr>
          <w:sz w:val="24"/>
          <w:szCs w:val="24"/>
        </w:rPr>
        <w:t xml:space="preserve">Provide a brief response to each question below, referring to Standards 1.3, </w:t>
      </w:r>
      <w:r w:rsidR="00BA04AD" w:rsidRPr="00756375">
        <w:rPr>
          <w:sz w:val="24"/>
          <w:szCs w:val="24"/>
        </w:rPr>
        <w:t xml:space="preserve">2.1, </w:t>
      </w:r>
      <w:r w:rsidRPr="00756375">
        <w:rPr>
          <w:sz w:val="24"/>
          <w:szCs w:val="24"/>
        </w:rPr>
        <w:t xml:space="preserve">2.2, and 2.9 for additional context. You may insert graphs, charts, or other similar visuals as needed to support your narrative. Suggested length for Section C (not counting any visuals) is 3 pages. </w:t>
      </w:r>
    </w:p>
    <w:p w14:paraId="57C2F271" w14:textId="77777777" w:rsidR="00E550EC" w:rsidRPr="00756375" w:rsidRDefault="00E550EC" w:rsidP="001E3BB0">
      <w:pPr>
        <w:rPr>
          <w:sz w:val="24"/>
          <w:szCs w:val="24"/>
        </w:rPr>
      </w:pPr>
    </w:p>
    <w:p w14:paraId="0A24C4A1" w14:textId="4CD74ECC" w:rsidR="00195935" w:rsidRPr="00756375" w:rsidRDefault="00BA04AD" w:rsidP="00F13B77">
      <w:pPr>
        <w:pStyle w:val="ListParagraph"/>
        <w:numPr>
          <w:ilvl w:val="0"/>
          <w:numId w:val="35"/>
        </w:numPr>
        <w:ind w:left="360"/>
        <w:rPr>
          <w:b/>
          <w:bCs/>
          <w:sz w:val="24"/>
          <w:szCs w:val="24"/>
        </w:rPr>
      </w:pPr>
      <w:r w:rsidRPr="00756375">
        <w:rPr>
          <w:b/>
          <w:bCs/>
          <w:sz w:val="24"/>
          <w:szCs w:val="24"/>
        </w:rPr>
        <w:t xml:space="preserve">Review the results of learning outcomes assessment. Describe any patterns or trends </w:t>
      </w:r>
      <w:r w:rsidR="00EA4D56" w:rsidRPr="00756375">
        <w:rPr>
          <w:b/>
          <w:bCs/>
          <w:sz w:val="24"/>
          <w:szCs w:val="24"/>
        </w:rPr>
        <w:t xml:space="preserve">related to attainment of learning outcomes </w:t>
      </w:r>
      <w:r w:rsidRPr="00756375">
        <w:rPr>
          <w:b/>
          <w:bCs/>
          <w:sz w:val="24"/>
          <w:szCs w:val="24"/>
        </w:rPr>
        <w:t>observable in these data</w:t>
      </w:r>
      <w:r w:rsidR="00D86B1F" w:rsidRPr="00756375">
        <w:rPr>
          <w:b/>
          <w:bCs/>
          <w:sz w:val="24"/>
          <w:szCs w:val="24"/>
        </w:rPr>
        <w:t xml:space="preserve"> that may be relevant as you implement improvements and innovations in the design and delivery of academic programs? </w:t>
      </w:r>
    </w:p>
    <w:p w14:paraId="3F980E74" w14:textId="77777777" w:rsidR="00195935" w:rsidRPr="00756375" w:rsidRDefault="00195935" w:rsidP="00195935">
      <w:pPr>
        <w:rPr>
          <w:sz w:val="24"/>
          <w:szCs w:val="24"/>
          <w:highlight w:val="lightGray"/>
        </w:rPr>
      </w:pPr>
    </w:p>
    <w:p w14:paraId="26EA5AC6" w14:textId="62E64804" w:rsidR="00EC7526" w:rsidRPr="00756375" w:rsidRDefault="00EC7526" w:rsidP="00EC7526">
      <w:pPr>
        <w:rPr>
          <w:sz w:val="24"/>
          <w:szCs w:val="24"/>
        </w:rPr>
      </w:pPr>
      <w:r w:rsidRPr="00756375">
        <w:rPr>
          <w:sz w:val="24"/>
          <w:szCs w:val="24"/>
        </w:rPr>
        <w:t xml:space="preserve">In recent years, Taft College’s ongoing efforts to consistently assess Student Learning Outcomes </w:t>
      </w:r>
      <w:r w:rsidRPr="00756375">
        <w:rPr>
          <w:sz w:val="24"/>
          <w:szCs w:val="24"/>
        </w:rPr>
        <w:lastRenderedPageBreak/>
        <w:t xml:space="preserve">(SLOs) and gather assessment results for analysis and evaluation have faced challenges due to the COVID-19 pandemic and the inconsistent use of eLumen. Every year during the fall in-service faculty are given time to enter SLO data into eLumen. Faculty have often cited that there is a disconnect to entering data after the course has concluded and have asked for a way to enter the data into Canvas as the assessment is being graded. The SLO </w:t>
      </w:r>
      <w:bookmarkStart w:id="11" w:name="_Hlk208934739"/>
      <w:r w:rsidR="001D4C8D" w:rsidRPr="00756375">
        <w:rPr>
          <w:sz w:val="24"/>
          <w:szCs w:val="24"/>
        </w:rPr>
        <w:t>C</w:t>
      </w:r>
      <w:r w:rsidRPr="00756375">
        <w:rPr>
          <w:sz w:val="24"/>
          <w:szCs w:val="24"/>
        </w:rPr>
        <w:t xml:space="preserve">oordinator </w:t>
      </w:r>
      <w:r w:rsidR="007A5AA1">
        <w:rPr>
          <w:sz w:val="24"/>
          <w:szCs w:val="24"/>
        </w:rPr>
        <w:t xml:space="preserve">and administrators </w:t>
      </w:r>
      <w:bookmarkEnd w:id="11"/>
      <w:r w:rsidR="007A5AA1">
        <w:rPr>
          <w:sz w:val="24"/>
          <w:szCs w:val="24"/>
        </w:rPr>
        <w:t>have</w:t>
      </w:r>
      <w:r w:rsidRPr="00756375">
        <w:rPr>
          <w:sz w:val="24"/>
          <w:szCs w:val="24"/>
        </w:rPr>
        <w:t xml:space="preserve"> responded to that feedback and started the process of transitioning the </w:t>
      </w:r>
      <w:r w:rsidR="001D4C8D" w:rsidRPr="00756375">
        <w:rPr>
          <w:sz w:val="24"/>
          <w:szCs w:val="24"/>
        </w:rPr>
        <w:t>C</w:t>
      </w:r>
      <w:r w:rsidRPr="00756375">
        <w:rPr>
          <w:sz w:val="24"/>
          <w:szCs w:val="24"/>
        </w:rPr>
        <w:t>ollege from eLumen to Insights</w:t>
      </w:r>
      <w:r w:rsidR="00F31A06" w:rsidRPr="00756375">
        <w:rPr>
          <w:sz w:val="24"/>
          <w:szCs w:val="24"/>
        </w:rPr>
        <w:t xml:space="preserve"> by eLumen</w:t>
      </w:r>
      <w:r w:rsidR="001D4C8D" w:rsidRPr="00756375">
        <w:rPr>
          <w:sz w:val="24"/>
          <w:szCs w:val="24"/>
        </w:rPr>
        <w:t xml:space="preserve"> which is</w:t>
      </w:r>
      <w:r w:rsidR="00F31A06" w:rsidRPr="00756375">
        <w:rPr>
          <w:sz w:val="24"/>
          <w:szCs w:val="24"/>
        </w:rPr>
        <w:t xml:space="preserve"> embedded within Canvas course shells and available outside of Canvas as well</w:t>
      </w:r>
      <w:r w:rsidRPr="00756375">
        <w:rPr>
          <w:sz w:val="24"/>
          <w:szCs w:val="24"/>
        </w:rPr>
        <w:t xml:space="preserve">. </w:t>
      </w:r>
    </w:p>
    <w:p w14:paraId="07A91A53" w14:textId="77777777" w:rsidR="00EC7526" w:rsidRPr="00756375" w:rsidRDefault="00EC7526" w:rsidP="00EC7526">
      <w:pPr>
        <w:rPr>
          <w:sz w:val="24"/>
          <w:szCs w:val="24"/>
        </w:rPr>
      </w:pPr>
    </w:p>
    <w:p w14:paraId="7D63A50F" w14:textId="09829A53" w:rsidR="00EC7526" w:rsidRPr="00756375" w:rsidRDefault="00EC7526" w:rsidP="00EC7526">
      <w:pPr>
        <w:rPr>
          <w:sz w:val="24"/>
          <w:szCs w:val="24"/>
        </w:rPr>
      </w:pPr>
      <w:r w:rsidRPr="00756375">
        <w:rPr>
          <w:sz w:val="24"/>
          <w:szCs w:val="24"/>
        </w:rPr>
        <w:t>Implementing Insights by eLumen at Taft College will empower faculty with the tools they need to enhance their teaching, align their courses with institutional goals, and ultimately improve student outcomes. By replacing the current eLumen platform with Insights</w:t>
      </w:r>
      <w:r w:rsidR="00F31A06" w:rsidRPr="00756375">
        <w:rPr>
          <w:sz w:val="24"/>
          <w:szCs w:val="24"/>
        </w:rPr>
        <w:t xml:space="preserve"> by eLumen</w:t>
      </w:r>
      <w:r w:rsidRPr="00756375">
        <w:rPr>
          <w:sz w:val="24"/>
          <w:szCs w:val="24"/>
        </w:rPr>
        <w:t>, faculty will be able to enter and track Student Learning Outcomes directly in Canvas as they are grading their assessments. This will ensure a more data-driven and cohesive approach to education, benefiting both instructors and students. Non-Canvas users and departments will still be able to utilize Insights</w:t>
      </w:r>
      <w:r w:rsidR="00F31A06" w:rsidRPr="00756375">
        <w:rPr>
          <w:sz w:val="24"/>
          <w:szCs w:val="24"/>
        </w:rPr>
        <w:t xml:space="preserve"> by eLumen</w:t>
      </w:r>
      <w:r w:rsidRPr="00756375">
        <w:rPr>
          <w:sz w:val="24"/>
          <w:szCs w:val="24"/>
        </w:rPr>
        <w:t xml:space="preserve"> to track Student Learning Outcomes as well.</w:t>
      </w:r>
    </w:p>
    <w:p w14:paraId="72C03884" w14:textId="77777777" w:rsidR="00EC7526" w:rsidRPr="00756375" w:rsidRDefault="00EC7526" w:rsidP="00EC7526">
      <w:pPr>
        <w:rPr>
          <w:sz w:val="24"/>
          <w:szCs w:val="24"/>
        </w:rPr>
      </w:pPr>
    </w:p>
    <w:p w14:paraId="702C9C48" w14:textId="57D216F0" w:rsidR="007C5C85" w:rsidRPr="00756375" w:rsidRDefault="00EC7526" w:rsidP="00EC7526">
      <w:pPr>
        <w:rPr>
          <w:sz w:val="24"/>
          <w:szCs w:val="24"/>
        </w:rPr>
      </w:pPr>
      <w:r w:rsidRPr="00756375">
        <w:rPr>
          <w:sz w:val="24"/>
          <w:szCs w:val="24"/>
        </w:rPr>
        <w:t>While it is too early to observe meaningful patterns and trends in these results, the College is taking active steps toward having sufficient data for review by the fall 2025 semester. In fall of 2024 the SLO Coordinator completed the Insights</w:t>
      </w:r>
      <w:r w:rsidR="00F31A06" w:rsidRPr="00756375">
        <w:rPr>
          <w:sz w:val="24"/>
          <w:szCs w:val="24"/>
        </w:rPr>
        <w:t xml:space="preserve"> by</w:t>
      </w:r>
      <w:r w:rsidRPr="00756375">
        <w:rPr>
          <w:sz w:val="24"/>
          <w:szCs w:val="24"/>
        </w:rPr>
        <w:t xml:space="preserve"> training and worked with </w:t>
      </w:r>
      <w:r w:rsidR="00F31A06" w:rsidRPr="00756375">
        <w:rPr>
          <w:sz w:val="24"/>
          <w:szCs w:val="24"/>
        </w:rPr>
        <w:t xml:space="preserve">the </w:t>
      </w:r>
      <w:r w:rsidRPr="00756375">
        <w:rPr>
          <w:sz w:val="24"/>
          <w:szCs w:val="24"/>
        </w:rPr>
        <w:t>I</w:t>
      </w:r>
      <w:r w:rsidR="00F31A06" w:rsidRPr="00756375">
        <w:rPr>
          <w:sz w:val="24"/>
          <w:szCs w:val="24"/>
        </w:rPr>
        <w:t xml:space="preserve">nformation </w:t>
      </w:r>
      <w:r w:rsidRPr="00756375">
        <w:rPr>
          <w:sz w:val="24"/>
          <w:szCs w:val="24"/>
        </w:rPr>
        <w:t>T</w:t>
      </w:r>
      <w:r w:rsidR="00F31A06" w:rsidRPr="00756375">
        <w:rPr>
          <w:sz w:val="24"/>
          <w:szCs w:val="24"/>
        </w:rPr>
        <w:t>echnology</w:t>
      </w:r>
      <w:r w:rsidRPr="00756375">
        <w:rPr>
          <w:sz w:val="24"/>
          <w:szCs w:val="24"/>
        </w:rPr>
        <w:t xml:space="preserve"> and Distance Education </w:t>
      </w:r>
      <w:r w:rsidR="00F31A06" w:rsidRPr="00756375">
        <w:rPr>
          <w:sz w:val="24"/>
          <w:szCs w:val="24"/>
        </w:rPr>
        <w:t xml:space="preserve">departments </w:t>
      </w:r>
      <w:r w:rsidRPr="00756375">
        <w:rPr>
          <w:sz w:val="24"/>
          <w:szCs w:val="24"/>
        </w:rPr>
        <w:t>to integrate Insights</w:t>
      </w:r>
      <w:r w:rsidR="00F31A06" w:rsidRPr="00756375">
        <w:rPr>
          <w:sz w:val="24"/>
          <w:szCs w:val="24"/>
        </w:rPr>
        <w:t xml:space="preserve"> </w:t>
      </w:r>
      <w:r w:rsidRPr="00756375">
        <w:rPr>
          <w:sz w:val="24"/>
          <w:szCs w:val="24"/>
        </w:rPr>
        <w:t xml:space="preserve">into Canvas. In the spring of 2025, the SLO Coordinator trained a pilot group of users to begin using Insights. A training </w:t>
      </w:r>
      <w:r w:rsidR="00113F3C" w:rsidRPr="00756375">
        <w:rPr>
          <w:sz w:val="24"/>
          <w:szCs w:val="24"/>
        </w:rPr>
        <w:t>has been completed</w:t>
      </w:r>
      <w:r w:rsidRPr="00756375">
        <w:rPr>
          <w:sz w:val="24"/>
          <w:szCs w:val="24"/>
        </w:rPr>
        <w:t xml:space="preserve"> for fall 2025 in-service to train all Taft College faculty on how to use Insights</w:t>
      </w:r>
      <w:r w:rsidR="00113F3C" w:rsidRPr="00756375">
        <w:rPr>
          <w:sz w:val="24"/>
          <w:szCs w:val="24"/>
        </w:rPr>
        <w:t xml:space="preserve"> (</w:t>
      </w:r>
      <w:hyperlink r:id="rId38" w:history="1">
        <w:r w:rsidR="00113F3C" w:rsidRPr="00756375">
          <w:rPr>
            <w:rStyle w:val="Hyperlink"/>
            <w:sz w:val="24"/>
            <w:szCs w:val="24"/>
          </w:rPr>
          <w:t>Fall 2025 Inservice Schedule - General Overview -SLO Insights and Accessibility Training.xlsx</w:t>
        </w:r>
      </w:hyperlink>
      <w:r w:rsidR="00113F3C" w:rsidRPr="00756375">
        <w:rPr>
          <w:sz w:val="24"/>
          <w:szCs w:val="24"/>
        </w:rPr>
        <w:t xml:space="preserve">). </w:t>
      </w:r>
      <w:r w:rsidRPr="00756375">
        <w:rPr>
          <w:sz w:val="24"/>
          <w:szCs w:val="24"/>
        </w:rPr>
        <w:t>A</w:t>
      </w:r>
      <w:r w:rsidR="00F31A06" w:rsidRPr="00756375">
        <w:rPr>
          <w:sz w:val="24"/>
          <w:szCs w:val="24"/>
        </w:rPr>
        <w:t>fter that</w:t>
      </w:r>
      <w:r w:rsidRPr="00756375">
        <w:rPr>
          <w:sz w:val="24"/>
          <w:szCs w:val="24"/>
        </w:rPr>
        <w:t xml:space="preserve"> time the </w:t>
      </w:r>
      <w:r w:rsidR="00A861C2" w:rsidRPr="00756375">
        <w:rPr>
          <w:sz w:val="24"/>
          <w:szCs w:val="24"/>
        </w:rPr>
        <w:t>C</w:t>
      </w:r>
      <w:r w:rsidRPr="00756375">
        <w:rPr>
          <w:sz w:val="24"/>
          <w:szCs w:val="24"/>
        </w:rPr>
        <w:t>ollege will have completed the transition from eLumen to Insights.</w:t>
      </w:r>
    </w:p>
    <w:p w14:paraId="24DB03E4" w14:textId="77777777" w:rsidR="00950CE4" w:rsidRPr="00756375" w:rsidRDefault="00950CE4" w:rsidP="00EC7526">
      <w:pPr>
        <w:rPr>
          <w:sz w:val="24"/>
          <w:szCs w:val="24"/>
        </w:rPr>
      </w:pPr>
    </w:p>
    <w:p w14:paraId="5C6F3AF0" w14:textId="59782113" w:rsidR="00101013" w:rsidRPr="00756375" w:rsidRDefault="00EA4D56" w:rsidP="00EA4D56">
      <w:pPr>
        <w:pStyle w:val="ListParagraph"/>
        <w:numPr>
          <w:ilvl w:val="0"/>
          <w:numId w:val="35"/>
        </w:numPr>
        <w:ind w:left="360"/>
        <w:rPr>
          <w:b/>
          <w:bCs/>
          <w:sz w:val="24"/>
          <w:szCs w:val="24"/>
        </w:rPr>
      </w:pPr>
      <w:r w:rsidRPr="00756375">
        <w:rPr>
          <w:b/>
          <w:bCs/>
          <w:sz w:val="24"/>
          <w:szCs w:val="24"/>
        </w:rPr>
        <w:t xml:space="preserve">How (i.e., for what subpopulations, modalities, etc.) does your institution disaggregate its assessment results? </w:t>
      </w:r>
      <w:r w:rsidR="00101013" w:rsidRPr="00756375">
        <w:rPr>
          <w:b/>
          <w:bCs/>
          <w:sz w:val="24"/>
          <w:szCs w:val="24"/>
        </w:rPr>
        <w:t xml:space="preserve">When you </w:t>
      </w:r>
      <w:r w:rsidRPr="00756375">
        <w:rPr>
          <w:b/>
          <w:bCs/>
          <w:sz w:val="24"/>
          <w:szCs w:val="24"/>
        </w:rPr>
        <w:t xml:space="preserve">review disaggregated </w:t>
      </w:r>
      <w:r w:rsidR="00101013" w:rsidRPr="00756375">
        <w:rPr>
          <w:b/>
          <w:bCs/>
          <w:sz w:val="24"/>
          <w:szCs w:val="24"/>
        </w:rPr>
        <w:t>assessment results, what patterns or trends do you see</w:t>
      </w:r>
      <w:r w:rsidR="00D86B1F" w:rsidRPr="00756375">
        <w:rPr>
          <w:b/>
          <w:bCs/>
          <w:sz w:val="24"/>
          <w:szCs w:val="24"/>
        </w:rPr>
        <w:t xml:space="preserve"> </w:t>
      </w:r>
      <w:r w:rsidR="00101013" w:rsidRPr="00756375">
        <w:rPr>
          <w:b/>
          <w:bCs/>
          <w:sz w:val="24"/>
          <w:szCs w:val="24"/>
        </w:rPr>
        <w:t>related to equitable attainment of student learning? What patterns or trends excite you? What patterns or trends concern you?</w:t>
      </w:r>
    </w:p>
    <w:p w14:paraId="040DB8BA" w14:textId="77777777" w:rsidR="00101013" w:rsidRPr="00756375" w:rsidRDefault="00101013" w:rsidP="00EC0060">
      <w:pPr>
        <w:ind w:right="245"/>
        <w:rPr>
          <w:b/>
          <w:bCs/>
          <w:sz w:val="24"/>
          <w:szCs w:val="24"/>
        </w:rPr>
      </w:pPr>
    </w:p>
    <w:p w14:paraId="7D0F638F" w14:textId="62432EB1" w:rsidR="00EC7526" w:rsidRPr="00756375" w:rsidRDefault="00EC7526" w:rsidP="00EC7526">
      <w:pPr>
        <w:rPr>
          <w:sz w:val="24"/>
          <w:szCs w:val="24"/>
        </w:rPr>
      </w:pPr>
      <w:r w:rsidRPr="00756375">
        <w:rPr>
          <w:sz w:val="24"/>
          <w:szCs w:val="24"/>
        </w:rPr>
        <w:t xml:space="preserve">Taft College is dedicated to </w:t>
      </w:r>
      <w:r w:rsidR="00A861C2" w:rsidRPr="00756375">
        <w:rPr>
          <w:sz w:val="24"/>
          <w:szCs w:val="24"/>
        </w:rPr>
        <w:t>disaggregating</w:t>
      </w:r>
      <w:r w:rsidRPr="00756375">
        <w:rPr>
          <w:sz w:val="24"/>
          <w:szCs w:val="24"/>
        </w:rPr>
        <w:t xml:space="preserve"> SLO assessment results by race/ethnicity, gender, and other student demographics to uncover and address equity gaps. This practice is a vital component of promoting educational equity and implementing equity-minded teaching, both of which are integral to the College’s mission, vision, and core values. We are currently able to run reports in eLumen to access the data. </w:t>
      </w:r>
      <w:r w:rsidR="00D40B84" w:rsidRPr="00756375">
        <w:rPr>
          <w:sz w:val="24"/>
          <w:szCs w:val="24"/>
        </w:rPr>
        <w:t>Below</w:t>
      </w:r>
      <w:r w:rsidRPr="00756375">
        <w:rPr>
          <w:sz w:val="24"/>
          <w:szCs w:val="24"/>
        </w:rPr>
        <w:t xml:space="preserve"> are sections of an example report pulled for PSLO: </w:t>
      </w:r>
      <w:r w:rsidR="003507C7" w:rsidRPr="00756375">
        <w:rPr>
          <w:sz w:val="24"/>
          <w:szCs w:val="24"/>
        </w:rPr>
        <w:t>History</w:t>
      </w:r>
      <w:r w:rsidRPr="00756375">
        <w:rPr>
          <w:sz w:val="24"/>
          <w:szCs w:val="24"/>
        </w:rPr>
        <w:t xml:space="preserve"> AA - T Program:</w:t>
      </w:r>
    </w:p>
    <w:p w14:paraId="526B5C16" w14:textId="77777777" w:rsidR="00EC7526" w:rsidRPr="00756375" w:rsidRDefault="00EC7526" w:rsidP="00EC7526">
      <w:pPr>
        <w:rPr>
          <w:sz w:val="24"/>
          <w:szCs w:val="24"/>
        </w:rPr>
      </w:pPr>
    </w:p>
    <w:p w14:paraId="7BB88AA3" w14:textId="025D0B05" w:rsidR="00EC7526" w:rsidRPr="00756375" w:rsidRDefault="003507C7" w:rsidP="00EC7526">
      <w:pPr>
        <w:rPr>
          <w:sz w:val="24"/>
          <w:szCs w:val="24"/>
        </w:rPr>
      </w:pPr>
      <w:r w:rsidRPr="00756375">
        <w:rPr>
          <w:noProof/>
          <w:sz w:val="24"/>
          <w:szCs w:val="24"/>
        </w:rPr>
        <w:drawing>
          <wp:inline distT="0" distB="0" distL="0" distR="0" wp14:anchorId="467C76F0" wp14:editId="7FEE64FB">
            <wp:extent cx="5763429" cy="685896"/>
            <wp:effectExtent l="0" t="0" r="0" b="0"/>
            <wp:docPr id="1935150357" name="Picture 1" descr="A gree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50357" name="Picture 1" descr="A green sign with black text&#10;&#10;AI-generated content may be incorrect."/>
                    <pic:cNvPicPr/>
                  </pic:nvPicPr>
                  <pic:blipFill>
                    <a:blip r:embed="rId39"/>
                    <a:stretch>
                      <a:fillRect/>
                    </a:stretch>
                  </pic:blipFill>
                  <pic:spPr>
                    <a:xfrm>
                      <a:off x="0" y="0"/>
                      <a:ext cx="5763429" cy="685896"/>
                    </a:xfrm>
                    <a:prstGeom prst="rect">
                      <a:avLst/>
                    </a:prstGeom>
                  </pic:spPr>
                </pic:pic>
              </a:graphicData>
            </a:graphic>
          </wp:inline>
        </w:drawing>
      </w:r>
    </w:p>
    <w:p w14:paraId="11F0CA02" w14:textId="16FE663C" w:rsidR="00EC7526" w:rsidRPr="00756375" w:rsidRDefault="003507C7" w:rsidP="00EC7526">
      <w:pPr>
        <w:rPr>
          <w:sz w:val="24"/>
          <w:szCs w:val="24"/>
        </w:rPr>
      </w:pPr>
      <w:r w:rsidRPr="00756375">
        <w:rPr>
          <w:noProof/>
          <w:sz w:val="24"/>
          <w:szCs w:val="24"/>
        </w:rPr>
        <w:drawing>
          <wp:inline distT="0" distB="0" distL="0" distR="0" wp14:anchorId="38A4CE1C" wp14:editId="4E154F2F">
            <wp:extent cx="5430008" cy="1057423"/>
            <wp:effectExtent l="0" t="0" r="0" b="9525"/>
            <wp:docPr id="1849604815"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04815" name="Picture 1" descr="A table with numbers and text&#10;&#10;AI-generated content may be incorrect."/>
                    <pic:cNvPicPr/>
                  </pic:nvPicPr>
                  <pic:blipFill>
                    <a:blip r:embed="rId40"/>
                    <a:stretch>
                      <a:fillRect/>
                    </a:stretch>
                  </pic:blipFill>
                  <pic:spPr>
                    <a:xfrm>
                      <a:off x="0" y="0"/>
                      <a:ext cx="5430008" cy="1057423"/>
                    </a:xfrm>
                    <a:prstGeom prst="rect">
                      <a:avLst/>
                    </a:prstGeom>
                  </pic:spPr>
                </pic:pic>
              </a:graphicData>
            </a:graphic>
          </wp:inline>
        </w:drawing>
      </w:r>
    </w:p>
    <w:p w14:paraId="6FCA21DE" w14:textId="5B166A2D" w:rsidR="00EC7526" w:rsidRPr="00756375" w:rsidRDefault="00EC7526" w:rsidP="00EC7526">
      <w:pPr>
        <w:rPr>
          <w:sz w:val="24"/>
          <w:szCs w:val="24"/>
        </w:rPr>
      </w:pPr>
      <w:r w:rsidRPr="00756375">
        <w:rPr>
          <w:sz w:val="24"/>
          <w:szCs w:val="24"/>
        </w:rPr>
        <w:lastRenderedPageBreak/>
        <w:t xml:space="preserve"> </w:t>
      </w:r>
      <w:r w:rsidR="003507C7" w:rsidRPr="00756375">
        <w:rPr>
          <w:noProof/>
          <w:sz w:val="24"/>
          <w:szCs w:val="24"/>
        </w:rPr>
        <w:drawing>
          <wp:inline distT="0" distB="0" distL="0" distR="0" wp14:anchorId="05F429C7" wp14:editId="4CD895D2">
            <wp:extent cx="5506218" cy="1209844"/>
            <wp:effectExtent l="0" t="0" r="0" b="9525"/>
            <wp:docPr id="1499273159"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73159" name="Picture 1" descr="A table with numbers and text&#10;&#10;AI-generated content may be incorrect."/>
                    <pic:cNvPicPr/>
                  </pic:nvPicPr>
                  <pic:blipFill>
                    <a:blip r:embed="rId41"/>
                    <a:stretch>
                      <a:fillRect/>
                    </a:stretch>
                  </pic:blipFill>
                  <pic:spPr>
                    <a:xfrm>
                      <a:off x="0" y="0"/>
                      <a:ext cx="5506218" cy="1209844"/>
                    </a:xfrm>
                    <a:prstGeom prst="rect">
                      <a:avLst/>
                    </a:prstGeom>
                  </pic:spPr>
                </pic:pic>
              </a:graphicData>
            </a:graphic>
          </wp:inline>
        </w:drawing>
      </w:r>
    </w:p>
    <w:p w14:paraId="38823A35" w14:textId="338A106D" w:rsidR="00EC7526" w:rsidRPr="00756375" w:rsidRDefault="003507C7" w:rsidP="00EC7526">
      <w:pPr>
        <w:rPr>
          <w:sz w:val="24"/>
          <w:szCs w:val="24"/>
        </w:rPr>
      </w:pPr>
      <w:r w:rsidRPr="00756375">
        <w:rPr>
          <w:noProof/>
          <w:sz w:val="24"/>
          <w:szCs w:val="24"/>
        </w:rPr>
        <w:drawing>
          <wp:inline distT="0" distB="0" distL="0" distR="0" wp14:anchorId="52A4ECB4" wp14:editId="1DC36326">
            <wp:extent cx="5553850" cy="1962424"/>
            <wp:effectExtent l="0" t="0" r="8890" b="0"/>
            <wp:docPr id="26235412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54126" name="Picture 1" descr="A table with numbers and text&#10;&#10;AI-generated content may be incorrect."/>
                    <pic:cNvPicPr/>
                  </pic:nvPicPr>
                  <pic:blipFill>
                    <a:blip r:embed="rId42"/>
                    <a:stretch>
                      <a:fillRect/>
                    </a:stretch>
                  </pic:blipFill>
                  <pic:spPr>
                    <a:xfrm>
                      <a:off x="0" y="0"/>
                      <a:ext cx="5553850" cy="1962424"/>
                    </a:xfrm>
                    <a:prstGeom prst="rect">
                      <a:avLst/>
                    </a:prstGeom>
                  </pic:spPr>
                </pic:pic>
              </a:graphicData>
            </a:graphic>
          </wp:inline>
        </w:drawing>
      </w:r>
    </w:p>
    <w:p w14:paraId="76FFE721" w14:textId="05B34A86" w:rsidR="00EC7526" w:rsidRPr="00756375" w:rsidRDefault="003507C7" w:rsidP="00EC7526">
      <w:pPr>
        <w:rPr>
          <w:sz w:val="24"/>
          <w:szCs w:val="24"/>
        </w:rPr>
      </w:pPr>
      <w:r w:rsidRPr="00756375">
        <w:rPr>
          <w:noProof/>
          <w:sz w:val="24"/>
          <w:szCs w:val="24"/>
        </w:rPr>
        <w:drawing>
          <wp:inline distT="0" distB="0" distL="0" distR="0" wp14:anchorId="4A3E9E9E" wp14:editId="4A23FB1E">
            <wp:extent cx="5630061" cy="2181529"/>
            <wp:effectExtent l="0" t="0" r="8890" b="9525"/>
            <wp:docPr id="1393651070" name="Picture 1" descr="A green and white rectangular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1070" name="Picture 1" descr="A green and white rectangular table with black text&#10;&#10;AI-generated content may be incorrect."/>
                    <pic:cNvPicPr/>
                  </pic:nvPicPr>
                  <pic:blipFill>
                    <a:blip r:embed="rId43"/>
                    <a:stretch>
                      <a:fillRect/>
                    </a:stretch>
                  </pic:blipFill>
                  <pic:spPr>
                    <a:xfrm>
                      <a:off x="0" y="0"/>
                      <a:ext cx="5630061" cy="2181529"/>
                    </a:xfrm>
                    <a:prstGeom prst="rect">
                      <a:avLst/>
                    </a:prstGeom>
                  </pic:spPr>
                </pic:pic>
              </a:graphicData>
            </a:graphic>
          </wp:inline>
        </w:drawing>
      </w:r>
    </w:p>
    <w:p w14:paraId="50B74A11" w14:textId="61658F27" w:rsidR="00EC7526" w:rsidRPr="00756375" w:rsidRDefault="00EC7526" w:rsidP="00EC7526">
      <w:pPr>
        <w:rPr>
          <w:sz w:val="24"/>
          <w:szCs w:val="24"/>
        </w:rPr>
      </w:pPr>
    </w:p>
    <w:p w14:paraId="22A1483E" w14:textId="77777777" w:rsidR="00EC7526" w:rsidRPr="00756375" w:rsidRDefault="00EC7526" w:rsidP="00EC7526">
      <w:pPr>
        <w:rPr>
          <w:sz w:val="24"/>
          <w:szCs w:val="24"/>
        </w:rPr>
      </w:pPr>
    </w:p>
    <w:p w14:paraId="205D32BD" w14:textId="1BED642D" w:rsidR="00EC7526" w:rsidRPr="00756375" w:rsidRDefault="00EC7526" w:rsidP="00EC7526">
      <w:pPr>
        <w:rPr>
          <w:sz w:val="24"/>
          <w:szCs w:val="24"/>
        </w:rPr>
      </w:pPr>
      <w:r w:rsidRPr="00756375">
        <w:rPr>
          <w:sz w:val="24"/>
          <w:szCs w:val="24"/>
        </w:rPr>
        <w:t xml:space="preserve">Our use of eLumen has enabled a structured and consistent method for collecting and disaggregating SLO assessment data. While eLumen enables departments to </w:t>
      </w:r>
      <w:r w:rsidR="004C626F" w:rsidRPr="00756375">
        <w:rPr>
          <w:sz w:val="24"/>
          <w:szCs w:val="24"/>
        </w:rPr>
        <w:t>disaggregate</w:t>
      </w:r>
      <w:r w:rsidRPr="00756375">
        <w:rPr>
          <w:sz w:val="24"/>
          <w:szCs w:val="24"/>
        </w:rPr>
        <w:t xml:space="preserve"> data by student demographics—such as race/ethnicity, gender, and age—at the program and institutional levels (PSLO and ISLO), it currently does not support disaggregation at the course level (CSLO). Only having data available at the PSLO and ISLO level has made it difficult to collect meaningful data.  eLumen recommends “mapping” CSLOs to PSLOs, which allows departments to access some disaggregated data, though it is based on program-level outcomes. As part of the transition from eLumen to Insights, we began working on the mapping process during </w:t>
      </w:r>
      <w:r w:rsidR="004C626F" w:rsidRPr="00756375">
        <w:rPr>
          <w:sz w:val="24"/>
          <w:szCs w:val="24"/>
        </w:rPr>
        <w:t>f</w:t>
      </w:r>
      <w:r w:rsidRPr="00756375">
        <w:rPr>
          <w:sz w:val="24"/>
          <w:szCs w:val="24"/>
        </w:rPr>
        <w:t>all in-service 2024. Each division received printouts of their programs</w:t>
      </w:r>
      <w:r w:rsidR="003507C7" w:rsidRPr="00756375">
        <w:rPr>
          <w:sz w:val="24"/>
          <w:szCs w:val="24"/>
        </w:rPr>
        <w:t>,</w:t>
      </w:r>
      <w:r w:rsidRPr="00756375">
        <w:rPr>
          <w:sz w:val="24"/>
          <w:szCs w:val="24"/>
        </w:rPr>
        <w:t xml:space="preserve"> courses</w:t>
      </w:r>
      <w:r w:rsidR="003507C7" w:rsidRPr="00756375">
        <w:rPr>
          <w:sz w:val="24"/>
          <w:szCs w:val="24"/>
        </w:rPr>
        <w:t xml:space="preserve">, </w:t>
      </w:r>
      <w:r w:rsidRPr="00756375">
        <w:rPr>
          <w:sz w:val="24"/>
          <w:szCs w:val="24"/>
        </w:rPr>
        <w:t xml:space="preserve">and learning outcomes from the SLO </w:t>
      </w:r>
      <w:r w:rsidR="003507C7" w:rsidRPr="00756375">
        <w:rPr>
          <w:sz w:val="24"/>
          <w:szCs w:val="24"/>
        </w:rPr>
        <w:t>C</w:t>
      </w:r>
      <w:r w:rsidRPr="00756375">
        <w:rPr>
          <w:sz w:val="24"/>
          <w:szCs w:val="24"/>
        </w:rPr>
        <w:t xml:space="preserve">oordinator to allow the divisions to properly map each CSLO to PSLOs and ISLOs. The SLO Coordinator then collected the handouts and is implementing the mapping into Insights. </w:t>
      </w:r>
    </w:p>
    <w:p w14:paraId="327049B0" w14:textId="77777777" w:rsidR="00EC7526" w:rsidRPr="00756375" w:rsidRDefault="00EC7526" w:rsidP="00EC7526">
      <w:pPr>
        <w:rPr>
          <w:sz w:val="24"/>
          <w:szCs w:val="24"/>
        </w:rPr>
      </w:pPr>
    </w:p>
    <w:p w14:paraId="18C7B44A" w14:textId="77777777" w:rsidR="00EC7526" w:rsidRPr="00756375" w:rsidRDefault="00EC7526" w:rsidP="00EC7526">
      <w:pPr>
        <w:rPr>
          <w:sz w:val="24"/>
          <w:szCs w:val="24"/>
        </w:rPr>
      </w:pPr>
      <w:r w:rsidRPr="00756375">
        <w:rPr>
          <w:sz w:val="24"/>
          <w:szCs w:val="24"/>
        </w:rPr>
        <w:t>Although it is still early to identify patterns or trends, due to lower than desired participation rates of entering data into eLumen and the anticipated adoption of Insights—which enables the generation of disaggregated data at the course SLO level—the College is confident it will be able to begin collecting meaningful disaggregated data starting in fall 2025.</w:t>
      </w:r>
    </w:p>
    <w:p w14:paraId="20A59732" w14:textId="77777777" w:rsidR="00950CE4" w:rsidRPr="00756375" w:rsidRDefault="00950CE4" w:rsidP="00EC7526">
      <w:pPr>
        <w:rPr>
          <w:sz w:val="24"/>
          <w:szCs w:val="24"/>
        </w:rPr>
      </w:pPr>
    </w:p>
    <w:p w14:paraId="413D9BFB" w14:textId="6B24EE0B" w:rsidR="00EA4D56" w:rsidRPr="00756375" w:rsidRDefault="00EA4D56">
      <w:pPr>
        <w:pStyle w:val="ListParagraph"/>
        <w:numPr>
          <w:ilvl w:val="0"/>
          <w:numId w:val="35"/>
        </w:numPr>
        <w:ind w:left="360"/>
        <w:rPr>
          <w:b/>
          <w:bCs/>
          <w:sz w:val="24"/>
          <w:szCs w:val="24"/>
        </w:rPr>
      </w:pPr>
      <w:r w:rsidRPr="00756375">
        <w:rPr>
          <w:b/>
          <w:bCs/>
          <w:sz w:val="24"/>
          <w:szCs w:val="24"/>
        </w:rPr>
        <w:t xml:space="preserve">What actions has your institution taken/is your institution taking in response to the patterns and trends discussed above? How will you monitor the results of these actions in order to inform future improvements and innovations </w:t>
      </w:r>
      <w:r w:rsidR="00D86B1F" w:rsidRPr="00756375">
        <w:rPr>
          <w:b/>
          <w:bCs/>
          <w:sz w:val="24"/>
          <w:szCs w:val="24"/>
        </w:rPr>
        <w:t xml:space="preserve">in support of equitable student learning? </w:t>
      </w:r>
    </w:p>
    <w:p w14:paraId="7913236D" w14:textId="02CD1C0D"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 xml:space="preserve">As noted earlier, the College has begun collecting SLO assessment results and anticipates having sufficient data—including disaggregated data by student demographics—for meaningful analysis of patterns and trends starting in fall 2025. To support this effort, the College is taking several steps to ease the data collection process for departments, particularly through the adoption of </w:t>
      </w:r>
      <w:proofErr w:type="spellStart"/>
      <w:r w:rsidRPr="00756375">
        <w:rPr>
          <w:rFonts w:ascii="Calibri" w:eastAsia="Trebuchet MS" w:hAnsi="Calibri"/>
          <w:spacing w:val="-1"/>
        </w:rPr>
        <w:t>eLumen’s</w:t>
      </w:r>
      <w:proofErr w:type="spellEnd"/>
      <w:r w:rsidRPr="00756375">
        <w:rPr>
          <w:rFonts w:ascii="Calibri" w:eastAsia="Trebuchet MS" w:hAnsi="Calibri"/>
          <w:spacing w:val="-1"/>
        </w:rPr>
        <w:t xml:space="preserve"> Insights tool, while also providing faculty with guidance and support in analyzing SLO data to enhance equitable student learning.</w:t>
      </w:r>
    </w:p>
    <w:p w14:paraId="1AD3A2E1" w14:textId="11B9E289"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In addition to offering training and resources to help faculty plan, collect, and review SLO assessment results, the College is committed to institutionalizing the full SLO Assessment Cycle as a consistent, collegewide practice. With the ease of assessing directly in Canvas with Insights, our anticipation is that participation rates of faculty reporting SLO data will climb significantly. Faculty will also be able to see their own personalized dashboard of SLO data in Insights. This means using assessment data not only in formal program reviews—where departments analyze results and make curriculum and pedagogical recommendations—but also more routinely, such as in semester and annual department planning.</w:t>
      </w:r>
    </w:p>
    <w:p w14:paraId="0C221A73" w14:textId="23346403"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Furthermore, the College will carefully monitor how departments respond to identified trends in SLO data through the program review process. As part of this process, departments complete the assessment cycle by analyzing their data and proposing improvements.</w:t>
      </w:r>
    </w:p>
    <w:p w14:paraId="43CA5350" w14:textId="22259EB1" w:rsidR="00EC7526" w:rsidRPr="00756375" w:rsidRDefault="00EC7526" w:rsidP="00EC7526">
      <w:pPr>
        <w:pStyle w:val="NormalWeb"/>
        <w:rPr>
          <w:rFonts w:ascii="Calibri" w:eastAsia="Trebuchet MS" w:hAnsi="Calibri"/>
          <w:spacing w:val="-1"/>
        </w:rPr>
      </w:pPr>
      <w:r w:rsidRPr="00756375">
        <w:rPr>
          <w:rFonts w:ascii="Calibri" w:eastAsia="Trebuchet MS" w:hAnsi="Calibri"/>
          <w:spacing w:val="-1"/>
        </w:rPr>
        <w:t xml:space="preserve">For the past </w:t>
      </w:r>
      <w:r w:rsidR="00DE4987" w:rsidRPr="00756375">
        <w:rPr>
          <w:rFonts w:ascii="Calibri" w:eastAsia="Trebuchet MS" w:hAnsi="Calibri"/>
          <w:spacing w:val="-1"/>
        </w:rPr>
        <w:t>three</w:t>
      </w:r>
      <w:r w:rsidRPr="00756375">
        <w:rPr>
          <w:rFonts w:ascii="Calibri" w:eastAsia="Trebuchet MS" w:hAnsi="Calibri"/>
          <w:spacing w:val="-1"/>
        </w:rPr>
        <w:t xml:space="preserve"> years, we have overhauled our Annual Program Review process. During the transition from an annual program review to a three-year comprehensive program review cycle, we added equity specific sections to encourage equity driven goals based off the internal disaggregated data dashboards</w:t>
      </w:r>
      <w:r w:rsidR="00FC7739" w:rsidRPr="00756375">
        <w:rPr>
          <w:rFonts w:ascii="Calibri" w:eastAsia="Trebuchet MS" w:hAnsi="Calibri"/>
          <w:spacing w:val="-1"/>
        </w:rPr>
        <w:t xml:space="preserve"> (</w:t>
      </w:r>
      <w:bookmarkStart w:id="12" w:name="_Hlk208311487"/>
      <w:r w:rsidR="00B5352E" w:rsidRPr="00756375">
        <w:rPr>
          <w:rFonts w:ascii="Calibri" w:eastAsia="Trebuchet MS" w:hAnsi="Calibri"/>
          <w:spacing w:val="-1"/>
        </w:rPr>
        <w:fldChar w:fldCharType="begin"/>
      </w:r>
      <w:r w:rsidR="00B5352E" w:rsidRPr="00756375">
        <w:rPr>
          <w:rFonts w:ascii="Calibri" w:eastAsia="Trebuchet MS" w:hAnsi="Calibri"/>
          <w:spacing w:val="-1"/>
        </w:rPr>
        <w:instrText>HYPERLINK "https://taftcollegeedu-my.sharepoint.com/:f:/g/personal/xli_taftcollege_edu/EtfEj9ArvtJEm51f5H4ZDdMBH82_p7k4fa5p4_Y7wjfnUQ?e=1zwaea"</w:instrText>
      </w:r>
      <w:r w:rsidR="00B5352E" w:rsidRPr="00756375">
        <w:rPr>
          <w:rFonts w:ascii="Calibri" w:eastAsia="Trebuchet MS" w:hAnsi="Calibri"/>
          <w:spacing w:val="-1"/>
        </w:rPr>
        <w:fldChar w:fldCharType="separate"/>
      </w:r>
      <w:r w:rsidR="00B5352E" w:rsidRPr="00756375">
        <w:rPr>
          <w:rStyle w:val="Hyperlink"/>
          <w:rFonts w:ascii="Calibri" w:eastAsia="Trebuchet MS" w:hAnsi="Calibri"/>
          <w:spacing w:val="-1"/>
        </w:rPr>
        <w:t xml:space="preserve">Comprehensive </w:t>
      </w:r>
      <w:r w:rsidR="00FC7739" w:rsidRPr="00756375">
        <w:rPr>
          <w:rStyle w:val="Hyperlink"/>
          <w:rFonts w:ascii="Calibri" w:eastAsia="Trebuchet MS" w:hAnsi="Calibri"/>
          <w:spacing w:val="-1"/>
        </w:rPr>
        <w:t>Program Review Template</w:t>
      </w:r>
      <w:bookmarkEnd w:id="12"/>
      <w:r w:rsidR="00B5352E" w:rsidRPr="00756375">
        <w:rPr>
          <w:rStyle w:val="Hyperlink"/>
          <w:rFonts w:ascii="Calibri" w:eastAsia="Trebuchet MS" w:hAnsi="Calibri"/>
          <w:spacing w:val="-1"/>
        </w:rPr>
        <w:t>s</w:t>
      </w:r>
      <w:r w:rsidR="00B5352E" w:rsidRPr="00756375">
        <w:rPr>
          <w:rFonts w:ascii="Calibri" w:eastAsia="Trebuchet MS" w:hAnsi="Calibri"/>
          <w:spacing w:val="-1"/>
        </w:rPr>
        <w:fldChar w:fldCharType="end"/>
      </w:r>
      <w:r w:rsidR="00FC7739" w:rsidRPr="00756375">
        <w:rPr>
          <w:rFonts w:ascii="Calibri" w:eastAsia="Trebuchet MS" w:hAnsi="Calibri"/>
          <w:spacing w:val="-1"/>
        </w:rPr>
        <w:t>)</w:t>
      </w:r>
      <w:r w:rsidRPr="00756375">
        <w:rPr>
          <w:rFonts w:ascii="Calibri" w:eastAsia="Trebuchet MS" w:hAnsi="Calibri"/>
          <w:spacing w:val="-1"/>
        </w:rPr>
        <w:t xml:space="preserve">. The data provided to each instructional and non-instructional program is at least a </w:t>
      </w:r>
      <w:r w:rsidR="003507C7" w:rsidRPr="00756375">
        <w:rPr>
          <w:rFonts w:ascii="Calibri" w:eastAsia="Trebuchet MS" w:hAnsi="Calibri"/>
          <w:spacing w:val="-1"/>
        </w:rPr>
        <w:t>five</w:t>
      </w:r>
      <w:r w:rsidRPr="00756375">
        <w:rPr>
          <w:rFonts w:ascii="Calibri" w:eastAsia="Trebuchet MS" w:hAnsi="Calibri"/>
          <w:spacing w:val="-1"/>
        </w:rPr>
        <w:t xml:space="preserve">-year trend or greater with additional custom data provided upon request. The disaggregated dashboards also show trends and will be updated annually. The SLO </w:t>
      </w:r>
      <w:r w:rsidR="00A93ECA" w:rsidRPr="00756375">
        <w:rPr>
          <w:rFonts w:ascii="Calibri" w:eastAsia="Trebuchet MS" w:hAnsi="Calibri"/>
          <w:spacing w:val="-1"/>
        </w:rPr>
        <w:t>and</w:t>
      </w:r>
      <w:r w:rsidRPr="00756375">
        <w:rPr>
          <w:rFonts w:ascii="Calibri" w:eastAsia="Trebuchet MS" w:hAnsi="Calibri"/>
          <w:spacing w:val="-1"/>
        </w:rPr>
        <w:t xml:space="preserve"> SAO data are posted on the Taft College website, while the </w:t>
      </w:r>
      <w:r w:rsidR="00DE4987" w:rsidRPr="00756375">
        <w:rPr>
          <w:rFonts w:ascii="Calibri" w:eastAsia="Trebuchet MS" w:hAnsi="Calibri"/>
          <w:spacing w:val="-1"/>
        </w:rPr>
        <w:t xml:space="preserve">Comprehensive Program review data and </w:t>
      </w:r>
      <w:r w:rsidRPr="00756375">
        <w:rPr>
          <w:rFonts w:ascii="Calibri" w:eastAsia="Trebuchet MS" w:hAnsi="Calibri"/>
          <w:spacing w:val="-1"/>
        </w:rPr>
        <w:t xml:space="preserve">disaggregated data trends and dashboards are posted on an employee access only site. This data and program review process allows our institution to track and monitor our progress internally against our institutional planning documents. </w:t>
      </w:r>
    </w:p>
    <w:p w14:paraId="47B2FFC8" w14:textId="1905FBFA" w:rsidR="00EA4D56" w:rsidRPr="00756375" w:rsidRDefault="00EC7526" w:rsidP="00EC7526">
      <w:pPr>
        <w:pStyle w:val="NormalWeb"/>
        <w:spacing w:before="0" w:beforeAutospacing="0" w:after="0" w:afterAutospacing="0"/>
        <w:rPr>
          <w:rFonts w:ascii="Calibri" w:eastAsia="Trebuchet MS" w:hAnsi="Calibri"/>
          <w:spacing w:val="-1"/>
        </w:rPr>
      </w:pPr>
      <w:r w:rsidRPr="00756375">
        <w:rPr>
          <w:rFonts w:ascii="Calibri" w:eastAsia="Trebuchet MS" w:hAnsi="Calibri"/>
          <w:spacing w:val="-1"/>
        </w:rPr>
        <w:t>Two custom survey questions were added to the CCSSE survey by our Office of Instruction regarding how “Zero Textbook Cost” options affect students when registering for courses and what “Low Cost Textbook” would l</w:t>
      </w:r>
      <w:r w:rsidR="00DE4987" w:rsidRPr="00756375">
        <w:rPr>
          <w:rFonts w:ascii="Calibri" w:eastAsia="Trebuchet MS" w:hAnsi="Calibri"/>
          <w:spacing w:val="-1"/>
        </w:rPr>
        <w:t>ook</w:t>
      </w:r>
      <w:r w:rsidRPr="00756375">
        <w:rPr>
          <w:rFonts w:ascii="Calibri" w:eastAsia="Trebuchet MS" w:hAnsi="Calibri"/>
          <w:spacing w:val="-1"/>
        </w:rPr>
        <w:t xml:space="preserve"> </w:t>
      </w:r>
      <w:r w:rsidR="00D969D1" w:rsidRPr="00756375">
        <w:rPr>
          <w:rFonts w:ascii="Calibri" w:eastAsia="Trebuchet MS" w:hAnsi="Calibri"/>
          <w:spacing w:val="-1"/>
        </w:rPr>
        <w:t xml:space="preserve">like </w:t>
      </w:r>
      <w:r w:rsidRPr="00756375">
        <w:rPr>
          <w:rFonts w:ascii="Calibri" w:eastAsia="Trebuchet MS" w:hAnsi="Calibri"/>
          <w:spacing w:val="-1"/>
        </w:rPr>
        <w:t>to them. This information assisted our discussions on defining and implementing the “Low Cost Textbook” for the MIS XB12 Data Element and encouraging more “Zero Textbook Cost” options in more disciplines.</w:t>
      </w:r>
    </w:p>
    <w:p w14:paraId="19DDB5FF" w14:textId="77777777" w:rsidR="00950CE4" w:rsidRPr="00756375" w:rsidRDefault="00950CE4" w:rsidP="00EC7526">
      <w:pPr>
        <w:pStyle w:val="NormalWeb"/>
        <w:spacing w:before="0" w:beforeAutospacing="0" w:after="0" w:afterAutospacing="0"/>
        <w:rPr>
          <w:rFonts w:ascii="Calibri" w:eastAsia="Trebuchet MS" w:hAnsi="Calibri"/>
          <w:spacing w:val="-1"/>
        </w:rPr>
      </w:pPr>
    </w:p>
    <w:p w14:paraId="4E31802D" w14:textId="5C0F2227" w:rsidR="00EC7526" w:rsidRPr="00756375" w:rsidRDefault="00EC7526" w:rsidP="00EC7526">
      <w:pPr>
        <w:pStyle w:val="NormalWeb"/>
        <w:spacing w:before="0" w:beforeAutospacing="0" w:after="0" w:afterAutospacing="0"/>
        <w:rPr>
          <w:rStyle w:val="normaltextrun"/>
          <w:rFonts w:asciiTheme="minorHAnsi" w:hAnsiTheme="minorHAnsi" w:cstheme="minorBidi"/>
          <w:b/>
          <w:bCs/>
          <w:color w:val="000000" w:themeColor="text1"/>
          <w:highlight w:val="yellow"/>
        </w:rPr>
      </w:pPr>
      <w:r w:rsidRPr="00756375">
        <w:rPr>
          <w:i/>
          <w:iCs/>
          <w:noProof/>
        </w:rPr>
        <w:lastRenderedPageBreak/>
        <w:drawing>
          <wp:inline distT="0" distB="0" distL="0" distR="0" wp14:anchorId="4B9E09E9" wp14:editId="08EEFE06">
            <wp:extent cx="5943600" cy="3343275"/>
            <wp:effectExtent l="0" t="0" r="0" b="9525"/>
            <wp:docPr id="1442884942" name="Picture 1" descr="A close-up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4942" name="Picture 1" descr="A close-up of a survey&#10;&#10;Description automatically generated"/>
                    <pic:cNvPicPr/>
                  </pic:nvPicPr>
                  <pic:blipFill>
                    <a:blip r:embed="rId44"/>
                    <a:stretch>
                      <a:fillRect/>
                    </a:stretch>
                  </pic:blipFill>
                  <pic:spPr>
                    <a:xfrm>
                      <a:off x="0" y="0"/>
                      <a:ext cx="5943600" cy="3343275"/>
                    </a:xfrm>
                    <a:prstGeom prst="rect">
                      <a:avLst/>
                    </a:prstGeom>
                  </pic:spPr>
                </pic:pic>
              </a:graphicData>
            </a:graphic>
          </wp:inline>
        </w:drawing>
      </w:r>
    </w:p>
    <w:p w14:paraId="02A558BF" w14:textId="7AECA1E9" w:rsidR="001872C4" w:rsidRPr="00756375" w:rsidRDefault="001872C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0265CFBE"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134B3893"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138A4207" w14:textId="77777777" w:rsidR="00D40B84" w:rsidRPr="00756375" w:rsidRDefault="00D40B8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00EE6B53" w14:textId="77777777" w:rsidR="00950CE4" w:rsidRPr="00756375" w:rsidRDefault="00950CE4" w:rsidP="3AABC8C6">
      <w:pPr>
        <w:pStyle w:val="NormalWeb"/>
        <w:spacing w:before="0" w:beforeAutospacing="0" w:after="0" w:afterAutospacing="0"/>
        <w:rPr>
          <w:rStyle w:val="normaltextrun"/>
          <w:rFonts w:asciiTheme="minorHAnsi" w:hAnsiTheme="minorHAnsi" w:cstheme="minorBidi"/>
          <w:b/>
          <w:bCs/>
          <w:color w:val="000000" w:themeColor="text1"/>
          <w:highlight w:val="yellow"/>
        </w:rPr>
      </w:pPr>
    </w:p>
    <w:p w14:paraId="2D491D1F" w14:textId="77777777" w:rsidR="00A56904" w:rsidRDefault="00A56904">
      <w:pPr>
        <w:widowControl/>
        <w:spacing w:after="200" w:line="276" w:lineRule="auto"/>
        <w:ind w:right="0"/>
        <w:rPr>
          <w:rStyle w:val="normaltextrun"/>
          <w:rFonts w:asciiTheme="minorHAnsi" w:hAnsiTheme="minorHAnsi" w:cstheme="minorBidi"/>
          <w:b/>
          <w:color w:val="000000" w:themeColor="text1"/>
          <w:sz w:val="24"/>
          <w:szCs w:val="24"/>
        </w:rPr>
      </w:pPr>
      <w:bookmarkStart w:id="13" w:name="_Toc156943183"/>
      <w:r>
        <w:rPr>
          <w:rStyle w:val="normaltextrun"/>
          <w:rFonts w:asciiTheme="minorHAnsi" w:hAnsiTheme="minorHAnsi" w:cstheme="minorBidi"/>
          <w:color w:val="000000" w:themeColor="text1"/>
          <w:sz w:val="24"/>
          <w:szCs w:val="24"/>
        </w:rPr>
        <w:br w:type="page"/>
      </w:r>
    </w:p>
    <w:p w14:paraId="1AAC9F20" w14:textId="0D591361" w:rsidR="00610DE9" w:rsidRPr="00756375" w:rsidRDefault="00F13B77" w:rsidP="00610DE9">
      <w:pPr>
        <w:pStyle w:val="Heading1"/>
        <w:rPr>
          <w:rStyle w:val="normaltextrun"/>
          <w:rFonts w:asciiTheme="minorHAnsi" w:hAnsiTheme="minorHAnsi" w:cstheme="minorBidi"/>
          <w:color w:val="000000" w:themeColor="text1"/>
          <w:sz w:val="24"/>
          <w:szCs w:val="24"/>
        </w:rPr>
      </w:pPr>
      <w:r w:rsidRPr="00756375">
        <w:rPr>
          <w:rStyle w:val="normaltextrun"/>
          <w:rFonts w:asciiTheme="minorHAnsi" w:hAnsiTheme="minorHAnsi" w:cstheme="minorBidi"/>
          <w:color w:val="000000" w:themeColor="text1"/>
          <w:sz w:val="24"/>
          <w:szCs w:val="24"/>
        </w:rPr>
        <w:lastRenderedPageBreak/>
        <w:t>Looking Ahead to the Next Self-Evaluation and Comprehensive Review</w:t>
      </w:r>
      <w:bookmarkEnd w:id="13"/>
    </w:p>
    <w:p w14:paraId="11346559" w14:textId="2BD7A2AC" w:rsidR="00D86B1F" w:rsidRPr="00756375" w:rsidRDefault="00D86B1F" w:rsidP="7621CC6B">
      <w:pPr>
        <w:pStyle w:val="BodyText"/>
        <w:ind w:left="0" w:firstLine="0"/>
        <w:rPr>
          <w:rFonts w:asciiTheme="minorHAnsi" w:hAnsiTheme="minorHAnsi" w:cstheme="minorBidi"/>
          <w:b w:val="0"/>
          <w:color w:val="000000" w:themeColor="text1"/>
          <w:sz w:val="24"/>
          <w:szCs w:val="24"/>
        </w:rPr>
      </w:pPr>
      <w:r w:rsidRPr="00756375">
        <w:rPr>
          <w:rFonts w:asciiTheme="minorHAnsi" w:hAnsiTheme="minorHAnsi" w:cstheme="minorBidi"/>
          <w:b w:val="0"/>
          <w:color w:val="000000" w:themeColor="text1"/>
          <w:sz w:val="24"/>
          <w:szCs w:val="24"/>
        </w:rPr>
        <w:t xml:space="preserve">Provide a brief response to the question below. Suggested length for Section D is 2 pages. </w:t>
      </w:r>
    </w:p>
    <w:p w14:paraId="7D7327D3" w14:textId="77777777" w:rsidR="00D86B1F" w:rsidRPr="00756375" w:rsidRDefault="00D86B1F" w:rsidP="7621CC6B">
      <w:pPr>
        <w:pStyle w:val="BodyText"/>
        <w:ind w:left="0" w:firstLine="0"/>
        <w:rPr>
          <w:rFonts w:asciiTheme="minorHAnsi" w:hAnsiTheme="minorHAnsi" w:cstheme="minorBidi"/>
          <w:b w:val="0"/>
          <w:color w:val="000000" w:themeColor="text1"/>
          <w:sz w:val="24"/>
          <w:szCs w:val="24"/>
          <w:highlight w:val="yellow"/>
        </w:rPr>
      </w:pPr>
    </w:p>
    <w:p w14:paraId="2235D38E" w14:textId="36F4C076" w:rsidR="00610DE9" w:rsidRPr="00756375" w:rsidRDefault="00D86B1F" w:rsidP="00F13B77">
      <w:pPr>
        <w:rPr>
          <w:rFonts w:asciiTheme="minorHAnsi" w:hAnsiTheme="minorHAnsi" w:cstheme="minorBidi"/>
          <w:b/>
          <w:color w:val="000000" w:themeColor="text1"/>
          <w:sz w:val="24"/>
          <w:szCs w:val="24"/>
        </w:rPr>
      </w:pPr>
      <w:r w:rsidRPr="00756375">
        <w:rPr>
          <w:rFonts w:asciiTheme="minorHAnsi" w:hAnsiTheme="minorHAnsi" w:cstheme="minorBidi"/>
          <w:b/>
          <w:color w:val="000000" w:themeColor="text1"/>
          <w:sz w:val="24"/>
          <w:szCs w:val="24"/>
        </w:rPr>
        <w:t xml:space="preserve">Your institution will begin its next comprehensive self-evaluation in 1-2 years. What opportunities, changes, or other internal or external factors do you see on the horizon that are likely to affect the context of </w:t>
      </w:r>
      <w:r w:rsidR="00610DE9" w:rsidRPr="00756375">
        <w:rPr>
          <w:rFonts w:asciiTheme="minorHAnsi" w:hAnsiTheme="minorHAnsi" w:cstheme="minorBidi"/>
          <w:b/>
          <w:color w:val="000000" w:themeColor="text1"/>
          <w:sz w:val="24"/>
          <w:szCs w:val="24"/>
        </w:rPr>
        <w:t xml:space="preserve">your </w:t>
      </w:r>
      <w:r w:rsidRPr="00756375">
        <w:rPr>
          <w:rFonts w:asciiTheme="minorHAnsi" w:hAnsiTheme="minorHAnsi" w:cstheme="minorBidi"/>
          <w:b/>
          <w:color w:val="000000" w:themeColor="text1"/>
          <w:sz w:val="24"/>
          <w:szCs w:val="24"/>
        </w:rPr>
        <w:t>self-evaluation</w:t>
      </w:r>
      <w:r w:rsidR="00610DE9" w:rsidRPr="00756375">
        <w:rPr>
          <w:rFonts w:asciiTheme="minorHAnsi" w:hAnsiTheme="minorHAnsi" w:cstheme="minorBidi"/>
          <w:b/>
          <w:color w:val="000000" w:themeColor="text1"/>
          <w:sz w:val="24"/>
          <w:szCs w:val="24"/>
        </w:rPr>
        <w:t xml:space="preserve"> and/or comprehensive</w:t>
      </w:r>
      <w:r w:rsidR="00F13B77" w:rsidRPr="00756375">
        <w:rPr>
          <w:rFonts w:asciiTheme="minorHAnsi" w:hAnsiTheme="minorHAnsi" w:cstheme="minorBidi"/>
          <w:b/>
          <w:color w:val="000000" w:themeColor="text1"/>
          <w:sz w:val="24"/>
          <w:szCs w:val="24"/>
        </w:rPr>
        <w:t xml:space="preserve"> peer r</w:t>
      </w:r>
      <w:r w:rsidR="00610DE9" w:rsidRPr="00756375">
        <w:rPr>
          <w:rFonts w:asciiTheme="minorHAnsi" w:hAnsiTheme="minorHAnsi" w:cstheme="minorBidi"/>
          <w:b/>
          <w:color w:val="000000" w:themeColor="text1"/>
          <w:sz w:val="24"/>
          <w:szCs w:val="24"/>
        </w:rPr>
        <w:t>eview</w:t>
      </w:r>
      <w:r w:rsidRPr="00756375">
        <w:rPr>
          <w:rFonts w:asciiTheme="minorHAnsi" w:hAnsiTheme="minorHAnsi" w:cstheme="minorBidi"/>
          <w:b/>
          <w:color w:val="000000" w:themeColor="text1"/>
          <w:sz w:val="24"/>
          <w:szCs w:val="24"/>
        </w:rPr>
        <w:t xml:space="preserve">? </w:t>
      </w:r>
    </w:p>
    <w:p w14:paraId="7B3276BF" w14:textId="2C2C61A7" w:rsidR="00D86B1F" w:rsidRPr="00756375" w:rsidRDefault="00D86B1F" w:rsidP="006E73DC">
      <w:pPr>
        <w:pStyle w:val="BodyText"/>
        <w:ind w:left="0" w:firstLine="0"/>
        <w:rPr>
          <w:sz w:val="24"/>
          <w:szCs w:val="24"/>
          <w:highlight w:val="yellow"/>
        </w:rPr>
      </w:pPr>
    </w:p>
    <w:p w14:paraId="75BFF3A4" w14:textId="40C23CAD" w:rsidR="00A318A3" w:rsidRPr="00756375" w:rsidRDefault="00A318A3" w:rsidP="00A318A3">
      <w:pPr>
        <w:rPr>
          <w:sz w:val="24"/>
          <w:szCs w:val="24"/>
        </w:rPr>
      </w:pPr>
      <w:r w:rsidRPr="00756375">
        <w:rPr>
          <w:sz w:val="24"/>
          <w:szCs w:val="24"/>
        </w:rPr>
        <w:t>As Taft College prepares for its next comprehensive self-evaluation, the institution anticipates a range of internal and external factors that will shape the context of the review. Central to this process is the College’s ongoing commitment to continuous improvement, guided by the strategic goals outlined in the newly developed Educational Master Plan (EMP)</w:t>
      </w:r>
      <w:r w:rsidR="003030A5" w:rsidRPr="00756375">
        <w:rPr>
          <w:sz w:val="24"/>
          <w:szCs w:val="24"/>
        </w:rPr>
        <w:t xml:space="preserve"> (</w:t>
      </w:r>
      <w:hyperlink r:id="rId45" w:history="1">
        <w:r w:rsidR="003030A5" w:rsidRPr="00756375">
          <w:rPr>
            <w:rStyle w:val="Hyperlink"/>
            <w:sz w:val="24"/>
            <w:szCs w:val="24"/>
          </w:rPr>
          <w:t>Taft College Planning Documents: Educational Master Plan</w:t>
        </w:r>
      </w:hyperlink>
      <w:r w:rsidR="003030A5" w:rsidRPr="00756375">
        <w:rPr>
          <w:sz w:val="24"/>
          <w:szCs w:val="24"/>
        </w:rPr>
        <w:t xml:space="preserve">) </w:t>
      </w:r>
      <w:r w:rsidRPr="00756375">
        <w:rPr>
          <w:sz w:val="24"/>
          <w:szCs w:val="24"/>
        </w:rPr>
        <w:t>. This plan emphasizes increasing student enrollment, improving retention and success rates, diversifying instructional programs, and fostering partnerships that support workforce development. These goals will serve as a framework for evaluating institutional progress in student success, academic innovation, and long-term sustainability.</w:t>
      </w:r>
    </w:p>
    <w:p w14:paraId="5FF2D648" w14:textId="77777777" w:rsidR="00A318A3" w:rsidRPr="00756375" w:rsidRDefault="00A318A3" w:rsidP="00A318A3">
      <w:pPr>
        <w:rPr>
          <w:sz w:val="24"/>
          <w:szCs w:val="24"/>
        </w:rPr>
      </w:pPr>
    </w:p>
    <w:p w14:paraId="53E4AFF5" w14:textId="0213842B" w:rsidR="00943BD4" w:rsidRPr="00756375" w:rsidRDefault="00A318A3" w:rsidP="00A318A3">
      <w:pPr>
        <w:rPr>
          <w:sz w:val="24"/>
          <w:szCs w:val="24"/>
        </w:rPr>
      </w:pPr>
      <w:r w:rsidRPr="00756375">
        <w:rPr>
          <w:sz w:val="24"/>
          <w:szCs w:val="24"/>
        </w:rPr>
        <w:t>Several focused programs and strategic initiatives are expected to significantly influence the self-evaluation process:</w:t>
      </w:r>
    </w:p>
    <w:p w14:paraId="4C135F3C" w14:textId="77777777" w:rsidR="00A318A3" w:rsidRPr="00756375" w:rsidRDefault="00A318A3" w:rsidP="00A318A3">
      <w:pPr>
        <w:rPr>
          <w:sz w:val="24"/>
          <w:szCs w:val="24"/>
        </w:rPr>
      </w:pPr>
    </w:p>
    <w:p w14:paraId="2FB83354" w14:textId="77777777" w:rsidR="0013184A" w:rsidRPr="00756375" w:rsidRDefault="0013184A" w:rsidP="0013184A">
      <w:pPr>
        <w:rPr>
          <w:sz w:val="24"/>
          <w:szCs w:val="24"/>
        </w:rPr>
      </w:pPr>
      <w:r w:rsidRPr="00756375">
        <w:rPr>
          <w:b/>
          <w:bCs/>
          <w:sz w:val="24"/>
          <w:szCs w:val="24"/>
        </w:rPr>
        <w:t xml:space="preserve">Dual Enrollment: </w:t>
      </w:r>
    </w:p>
    <w:p w14:paraId="4895EB4A" w14:textId="3B5A9177" w:rsidR="0013184A" w:rsidRPr="00756375" w:rsidRDefault="0013184A" w:rsidP="0013184A">
      <w:pPr>
        <w:rPr>
          <w:sz w:val="24"/>
          <w:szCs w:val="24"/>
        </w:rPr>
      </w:pPr>
      <w:r w:rsidRPr="00756375">
        <w:rPr>
          <w:sz w:val="24"/>
          <w:szCs w:val="24"/>
        </w:rPr>
        <w:t>Expanding dual enrollment continues to be a key strategy for increasing access and enrollment. Taft College has been able to collaborate with our primary feeder high school, Taft Union, to establish a College and Career Access Pathways (CCAP) agreement. The agreement builds on longstanding collaborations establishing a pathway to provide access for Taft Union High School students to complete their general education while in high school. Building on successful partnerships with local high schools, the College aims to create clearer pathways for high school students to engage in college-level coursework. Additionally, Taft College is exploring dual enrollment opportunities to strengthen alignment between its offerings and the West Kern Adult Education Network (WKAEN), particularly in career-focused areas, to better serve adult learners. These efforts are designed to reduce time to degree, bridge educational attainment gaps, and create more seamless transitions to higher education.</w:t>
      </w:r>
    </w:p>
    <w:p w14:paraId="3A70648D" w14:textId="77777777" w:rsidR="0013184A" w:rsidRPr="00756375" w:rsidRDefault="0013184A" w:rsidP="0013184A">
      <w:pPr>
        <w:rPr>
          <w:sz w:val="24"/>
          <w:szCs w:val="24"/>
        </w:rPr>
      </w:pPr>
    </w:p>
    <w:p w14:paraId="04CE59EE" w14:textId="77777777" w:rsidR="0013184A" w:rsidRPr="00756375" w:rsidRDefault="0013184A" w:rsidP="0013184A">
      <w:pPr>
        <w:rPr>
          <w:sz w:val="24"/>
          <w:szCs w:val="24"/>
        </w:rPr>
      </w:pPr>
      <w:r w:rsidRPr="00756375">
        <w:rPr>
          <w:b/>
          <w:bCs/>
          <w:sz w:val="24"/>
          <w:szCs w:val="24"/>
        </w:rPr>
        <w:t xml:space="preserve">Adult Learning </w:t>
      </w:r>
    </w:p>
    <w:p w14:paraId="7B5CB7BB" w14:textId="77777777" w:rsidR="0013184A" w:rsidRPr="00756375" w:rsidRDefault="0013184A" w:rsidP="0013184A">
      <w:pPr>
        <w:rPr>
          <w:sz w:val="24"/>
          <w:szCs w:val="24"/>
        </w:rPr>
      </w:pPr>
      <w:r w:rsidRPr="00756375">
        <w:rPr>
          <w:sz w:val="24"/>
          <w:szCs w:val="24"/>
        </w:rPr>
        <w:t>Expanding opportunities for adult learners is a critical component of the College’s equity and access agenda. Taft College is committed to increasing educational pathways for adult students through partnerships, flexible course formats, and programs tailored to adult learning needs. These efforts are designed to support individuals re-entering education after time away, seeking new career opportunities, or balancing education with work and family responsibilities.</w:t>
      </w:r>
    </w:p>
    <w:p w14:paraId="2F016A95" w14:textId="77777777" w:rsidR="0013184A" w:rsidRPr="00756375" w:rsidRDefault="0013184A" w:rsidP="0013184A">
      <w:pPr>
        <w:rPr>
          <w:sz w:val="24"/>
          <w:szCs w:val="24"/>
        </w:rPr>
      </w:pPr>
    </w:p>
    <w:p w14:paraId="6462B476" w14:textId="77777777" w:rsidR="0013184A" w:rsidRPr="00756375" w:rsidRDefault="0013184A" w:rsidP="0013184A">
      <w:pPr>
        <w:rPr>
          <w:b/>
          <w:bCs/>
          <w:sz w:val="24"/>
          <w:szCs w:val="24"/>
        </w:rPr>
      </w:pPr>
      <w:r w:rsidRPr="00756375">
        <w:rPr>
          <w:b/>
          <w:bCs/>
          <w:sz w:val="24"/>
          <w:szCs w:val="24"/>
        </w:rPr>
        <w:t>Non-Credit Programs:</w:t>
      </w:r>
    </w:p>
    <w:p w14:paraId="39B20702" w14:textId="5840D030" w:rsidR="0013184A" w:rsidRPr="00756375" w:rsidRDefault="0013184A" w:rsidP="0013184A">
      <w:pPr>
        <w:rPr>
          <w:sz w:val="24"/>
          <w:szCs w:val="24"/>
        </w:rPr>
      </w:pPr>
      <w:bookmarkStart w:id="14" w:name="_Hlk208934939"/>
      <w:r w:rsidRPr="00756375">
        <w:rPr>
          <w:sz w:val="24"/>
          <w:szCs w:val="24"/>
        </w:rPr>
        <w:t>Taft College is also investing in the development of non-credit programs that provide low-barrier entry points into higher education</w:t>
      </w:r>
      <w:r w:rsidR="007A5AA1">
        <w:rPr>
          <w:sz w:val="24"/>
          <w:szCs w:val="24"/>
        </w:rPr>
        <w:t>, and has provided faculty workshops to delve into the process as well as college needs and student interests for non-credit classes</w:t>
      </w:r>
      <w:r w:rsidRPr="00756375">
        <w:rPr>
          <w:sz w:val="24"/>
          <w:szCs w:val="24"/>
        </w:rPr>
        <w:t>. These programs are particularly effective in supporting career exploration, basic skills development, and workforce training. By offering non-credit options aligned with regional workforce needs, the College is working to support both economic development and lifelong learning across its service area.</w:t>
      </w:r>
    </w:p>
    <w:bookmarkEnd w:id="14"/>
    <w:p w14:paraId="7DC3A007" w14:textId="77777777" w:rsidR="0013184A" w:rsidRPr="00756375" w:rsidRDefault="0013184A" w:rsidP="0013184A">
      <w:pPr>
        <w:rPr>
          <w:sz w:val="24"/>
          <w:szCs w:val="24"/>
        </w:rPr>
      </w:pPr>
    </w:p>
    <w:p w14:paraId="54DF379C" w14:textId="77777777" w:rsidR="0013184A" w:rsidRPr="00756375" w:rsidRDefault="0013184A" w:rsidP="0013184A">
      <w:pPr>
        <w:rPr>
          <w:sz w:val="24"/>
          <w:szCs w:val="24"/>
        </w:rPr>
      </w:pPr>
      <w:bookmarkStart w:id="15" w:name="_Hlk208934967"/>
      <w:r w:rsidRPr="00756375">
        <w:rPr>
          <w:b/>
          <w:bCs/>
          <w:sz w:val="24"/>
          <w:szCs w:val="24"/>
        </w:rPr>
        <w:t>Credit for Prior Learning (CPL):</w:t>
      </w:r>
      <w:r w:rsidRPr="00756375">
        <w:rPr>
          <w:sz w:val="24"/>
          <w:szCs w:val="24"/>
        </w:rPr>
        <w:t xml:space="preserve"> </w:t>
      </w:r>
    </w:p>
    <w:p w14:paraId="12653A4F" w14:textId="77777777" w:rsidR="0013184A" w:rsidRPr="00756375" w:rsidRDefault="0013184A" w:rsidP="0013184A">
      <w:pPr>
        <w:rPr>
          <w:sz w:val="24"/>
          <w:szCs w:val="24"/>
        </w:rPr>
      </w:pPr>
      <w:r w:rsidRPr="00756375">
        <w:rPr>
          <w:sz w:val="24"/>
          <w:szCs w:val="24"/>
        </w:rPr>
        <w:t>A major area of improvement and focus for Taft College is expanding its Credit for Prior Learning offerings. By recognizing the value of students' previous learning experiences—whether through military service, workforce training, or other non-traditional educational settings—the College will provide a more equitable path to degree completion. Taft College is seeking to participate in the Mapping Articulated Pathways (MAP) Initiative aimed at developing the capacity and procedures to award up to a year of college credit in recognition of the mastery acquired through prior learning, training, and experience. This initiative aligns with the College's broader mission of serving diverse student populations and meeting the needs of a constantly evolving job market.</w:t>
      </w:r>
    </w:p>
    <w:p w14:paraId="507AABFC" w14:textId="77777777" w:rsidR="0013184A" w:rsidRPr="00756375" w:rsidRDefault="0013184A" w:rsidP="0013184A">
      <w:pPr>
        <w:rPr>
          <w:sz w:val="24"/>
          <w:szCs w:val="24"/>
        </w:rPr>
      </w:pPr>
    </w:p>
    <w:p w14:paraId="0D24C0BC" w14:textId="77777777" w:rsidR="0013184A" w:rsidRPr="00756375" w:rsidRDefault="0013184A" w:rsidP="0013184A">
      <w:pPr>
        <w:rPr>
          <w:b/>
          <w:bCs/>
          <w:sz w:val="24"/>
          <w:szCs w:val="24"/>
        </w:rPr>
      </w:pPr>
      <w:r w:rsidRPr="00756375">
        <w:rPr>
          <w:b/>
          <w:bCs/>
          <w:sz w:val="24"/>
          <w:szCs w:val="24"/>
        </w:rPr>
        <w:t>Competency Based Education (CBE):</w:t>
      </w:r>
    </w:p>
    <w:p w14:paraId="5602AC22" w14:textId="77777777" w:rsidR="0013184A" w:rsidRPr="00756375" w:rsidRDefault="0013184A" w:rsidP="0013184A">
      <w:pPr>
        <w:rPr>
          <w:sz w:val="24"/>
          <w:szCs w:val="24"/>
        </w:rPr>
      </w:pPr>
      <w:r w:rsidRPr="00756375">
        <w:rPr>
          <w:sz w:val="24"/>
          <w:szCs w:val="24"/>
        </w:rPr>
        <w:t xml:space="preserve">Taft College will continue to develop the infrastructure to advance CBE, offering students a personalized, flexible option to continue learning. We are in the beginning stages of CBE but see the benefits of students taking more ownership of their learning leading to increased engagement and enhancing learning outcomes. </w:t>
      </w:r>
    </w:p>
    <w:p w14:paraId="3F928B43" w14:textId="77777777" w:rsidR="0013184A" w:rsidRPr="00756375" w:rsidRDefault="0013184A" w:rsidP="0013184A">
      <w:pPr>
        <w:rPr>
          <w:sz w:val="24"/>
          <w:szCs w:val="24"/>
        </w:rPr>
      </w:pPr>
    </w:p>
    <w:p w14:paraId="73F56D4B" w14:textId="77777777" w:rsidR="0013184A" w:rsidRPr="00756375" w:rsidRDefault="0013184A" w:rsidP="0013184A">
      <w:pPr>
        <w:rPr>
          <w:sz w:val="24"/>
          <w:szCs w:val="24"/>
        </w:rPr>
      </w:pPr>
      <w:r w:rsidRPr="00756375">
        <w:rPr>
          <w:b/>
          <w:bCs/>
          <w:sz w:val="24"/>
          <w:szCs w:val="24"/>
        </w:rPr>
        <w:t xml:space="preserve">Short-Term Career and Technical Education (CTE) Pathways: </w:t>
      </w:r>
    </w:p>
    <w:p w14:paraId="296EBBED" w14:textId="4C2ABCA4" w:rsidR="0013184A" w:rsidRPr="00756375" w:rsidRDefault="0013184A" w:rsidP="0013184A">
      <w:pPr>
        <w:rPr>
          <w:sz w:val="24"/>
          <w:szCs w:val="24"/>
        </w:rPr>
      </w:pPr>
      <w:r w:rsidRPr="00756375">
        <w:rPr>
          <w:sz w:val="24"/>
          <w:szCs w:val="24"/>
        </w:rPr>
        <w:t xml:space="preserve">Taft College will continue to develop and expand short-term CTE pathways aimed at preparing students for immediate employment opportunities and supporting meeting the occupational needs of the region. By focusing on high-demand fields, such as healthcare, the College is responding to the needs of students who seek rapid entry into the workforce, as well as regional industries seeking a well-trained labor force. Taft College remains committed to meeting local industry needs and has developed various programs including </w:t>
      </w:r>
      <w:r w:rsidR="007A5AA1">
        <w:rPr>
          <w:sz w:val="24"/>
          <w:szCs w:val="24"/>
        </w:rPr>
        <w:t>P</w:t>
      </w:r>
      <w:r w:rsidRPr="00756375">
        <w:rPr>
          <w:sz w:val="24"/>
          <w:szCs w:val="24"/>
        </w:rPr>
        <w:t xml:space="preserve">aramedic and </w:t>
      </w:r>
      <w:r w:rsidR="007A5AA1">
        <w:rPr>
          <w:sz w:val="24"/>
          <w:szCs w:val="24"/>
        </w:rPr>
        <w:t>M</w:t>
      </w:r>
      <w:r w:rsidRPr="00756375">
        <w:rPr>
          <w:sz w:val="24"/>
          <w:szCs w:val="24"/>
        </w:rPr>
        <w:t xml:space="preserve">edical </w:t>
      </w:r>
      <w:r w:rsidR="007A5AA1">
        <w:rPr>
          <w:sz w:val="24"/>
          <w:szCs w:val="24"/>
        </w:rPr>
        <w:t>A</w:t>
      </w:r>
      <w:r w:rsidRPr="00756375">
        <w:rPr>
          <w:sz w:val="24"/>
          <w:szCs w:val="24"/>
        </w:rPr>
        <w:t xml:space="preserve">ssisting to support those efforts. Additional programs being developed include </w:t>
      </w:r>
      <w:r w:rsidR="007A5AA1">
        <w:rPr>
          <w:sz w:val="24"/>
          <w:szCs w:val="24"/>
        </w:rPr>
        <w:t>S</w:t>
      </w:r>
      <w:r w:rsidRPr="00756375">
        <w:rPr>
          <w:sz w:val="24"/>
          <w:szCs w:val="24"/>
        </w:rPr>
        <w:t xml:space="preserve">peech </w:t>
      </w:r>
      <w:r w:rsidR="007A5AA1">
        <w:rPr>
          <w:sz w:val="24"/>
          <w:szCs w:val="24"/>
        </w:rPr>
        <w:t>P</w:t>
      </w:r>
      <w:r w:rsidRPr="00756375">
        <w:rPr>
          <w:sz w:val="24"/>
          <w:szCs w:val="24"/>
        </w:rPr>
        <w:t xml:space="preserve">athology </w:t>
      </w:r>
      <w:r w:rsidR="007A5AA1">
        <w:rPr>
          <w:sz w:val="24"/>
          <w:szCs w:val="24"/>
        </w:rPr>
        <w:t>A</w:t>
      </w:r>
      <w:r w:rsidRPr="00756375">
        <w:rPr>
          <w:sz w:val="24"/>
          <w:szCs w:val="24"/>
        </w:rPr>
        <w:t xml:space="preserve">ide and </w:t>
      </w:r>
      <w:r w:rsidR="007A5AA1">
        <w:rPr>
          <w:sz w:val="24"/>
          <w:szCs w:val="24"/>
        </w:rPr>
        <w:t>E</w:t>
      </w:r>
      <w:r w:rsidRPr="00756375">
        <w:rPr>
          <w:sz w:val="24"/>
          <w:szCs w:val="24"/>
        </w:rPr>
        <w:t xml:space="preserve">nvironmental </w:t>
      </w:r>
      <w:r w:rsidR="007A5AA1">
        <w:rPr>
          <w:sz w:val="24"/>
          <w:szCs w:val="24"/>
        </w:rPr>
        <w:t>H</w:t>
      </w:r>
      <w:r w:rsidRPr="00756375">
        <w:rPr>
          <w:sz w:val="24"/>
          <w:szCs w:val="24"/>
        </w:rPr>
        <w:t xml:space="preserve">ealth and </w:t>
      </w:r>
      <w:r w:rsidR="007A5AA1">
        <w:rPr>
          <w:sz w:val="24"/>
          <w:szCs w:val="24"/>
        </w:rPr>
        <w:t>S</w:t>
      </w:r>
      <w:r w:rsidRPr="00756375">
        <w:rPr>
          <w:sz w:val="24"/>
          <w:szCs w:val="24"/>
        </w:rPr>
        <w:t>afety. These pathways will be closely aligned with labor market trends and community needs, ensuring that students are equipped with relevant, up-to-date skills.</w:t>
      </w:r>
    </w:p>
    <w:p w14:paraId="182C394F" w14:textId="77777777" w:rsidR="0013184A" w:rsidRPr="00756375" w:rsidRDefault="0013184A" w:rsidP="0013184A">
      <w:pPr>
        <w:rPr>
          <w:sz w:val="24"/>
          <w:szCs w:val="24"/>
        </w:rPr>
      </w:pPr>
    </w:p>
    <w:p w14:paraId="739F46BD" w14:textId="77777777" w:rsidR="0013184A" w:rsidRPr="00756375" w:rsidRDefault="0013184A" w:rsidP="0013184A">
      <w:pPr>
        <w:rPr>
          <w:b/>
          <w:bCs/>
          <w:sz w:val="24"/>
          <w:szCs w:val="24"/>
        </w:rPr>
      </w:pPr>
      <w:r w:rsidRPr="00756375">
        <w:rPr>
          <w:b/>
          <w:bCs/>
          <w:sz w:val="24"/>
          <w:szCs w:val="24"/>
        </w:rPr>
        <w:t>ZTC (Zero Textbook Cost) Program</w:t>
      </w:r>
    </w:p>
    <w:p w14:paraId="4069C5F5" w14:textId="7CD3263E" w:rsidR="0013184A" w:rsidRPr="00756375" w:rsidRDefault="007A5AA1" w:rsidP="0013184A">
      <w:pPr>
        <w:rPr>
          <w:sz w:val="24"/>
          <w:szCs w:val="24"/>
        </w:rPr>
      </w:pPr>
      <w:r>
        <w:rPr>
          <w:sz w:val="24"/>
          <w:szCs w:val="24"/>
        </w:rPr>
        <w:t>We continue to e</w:t>
      </w:r>
      <w:r w:rsidR="0013184A" w:rsidRPr="00756375">
        <w:rPr>
          <w:sz w:val="24"/>
          <w:szCs w:val="24"/>
        </w:rPr>
        <w:t xml:space="preserve">xpand the availability of ZTC (Zero Textbook Cost) textbooks, to reduce financial barriers and make courses more accessible and attractive to a wider student audience. Taft College has secured several grants aimed at supporting the expansion of Open Educational Resources (OER) at TC leading to more ZTC courses. To support those efforts, our campus has leveraged grant funding to develop a ZTC Implementation plan, providing our campus with a faculty-lead blueprint to expand ZTC courses. Additionally, to promote the plan and other available resources to students and staff, Taft College has created an </w:t>
      </w:r>
      <w:hyperlink r:id="rId46" w:history="1">
        <w:r w:rsidR="0013184A" w:rsidRPr="00756375">
          <w:rPr>
            <w:rStyle w:val="Hyperlink"/>
            <w:sz w:val="24"/>
            <w:szCs w:val="24"/>
          </w:rPr>
          <w:t>Open Educational Resources</w:t>
        </w:r>
      </w:hyperlink>
      <w:r w:rsidR="0013184A" w:rsidRPr="00756375">
        <w:rPr>
          <w:sz w:val="24"/>
          <w:szCs w:val="24"/>
        </w:rPr>
        <w:t xml:space="preserve"> website. </w:t>
      </w:r>
    </w:p>
    <w:p w14:paraId="34DC273D" w14:textId="77777777" w:rsidR="0013184A" w:rsidRPr="00756375" w:rsidRDefault="0013184A" w:rsidP="0013184A">
      <w:pPr>
        <w:rPr>
          <w:sz w:val="24"/>
          <w:szCs w:val="24"/>
        </w:rPr>
      </w:pPr>
    </w:p>
    <w:p w14:paraId="7CDA23D3" w14:textId="77777777" w:rsidR="0013184A" w:rsidRPr="00756375" w:rsidRDefault="0013184A" w:rsidP="0013184A">
      <w:pPr>
        <w:rPr>
          <w:b/>
          <w:bCs/>
          <w:sz w:val="24"/>
          <w:szCs w:val="24"/>
        </w:rPr>
      </w:pPr>
      <w:r w:rsidRPr="00756375">
        <w:rPr>
          <w:b/>
          <w:bCs/>
          <w:sz w:val="24"/>
          <w:szCs w:val="24"/>
        </w:rPr>
        <w:t>Strengthening Planning and Sustainability Through Review and Resource Monitoring</w:t>
      </w:r>
    </w:p>
    <w:p w14:paraId="579D5F98" w14:textId="77777777" w:rsidR="0013184A" w:rsidRDefault="0013184A" w:rsidP="0013184A">
      <w:pPr>
        <w:rPr>
          <w:sz w:val="24"/>
          <w:szCs w:val="24"/>
        </w:rPr>
      </w:pPr>
      <w:r w:rsidRPr="00756375">
        <w:rPr>
          <w:sz w:val="24"/>
          <w:szCs w:val="24"/>
        </w:rPr>
        <w:t>We have just completed the pilot of our three-year comprehensive program review process, with full implementation now underway. This shift promotes long-term planning, deeper reflection, and stronger alignment with institutional goals. Additionally, the College has implemented an Expenditure Dashboard to help monitor budgets, support informed decision-making, and sustain institutional efforts. Together, these tools strengthen our ability to align resources with priorities and enhance continuous improvement.</w:t>
      </w:r>
    </w:p>
    <w:p w14:paraId="1A433C1B" w14:textId="77777777" w:rsidR="00A56904" w:rsidRDefault="00A56904" w:rsidP="0013184A">
      <w:pPr>
        <w:rPr>
          <w:sz w:val="24"/>
          <w:szCs w:val="24"/>
        </w:rPr>
      </w:pPr>
    </w:p>
    <w:p w14:paraId="46DC7112" w14:textId="77777777" w:rsidR="00A56904" w:rsidRPr="00756375" w:rsidRDefault="00A56904" w:rsidP="00A56904">
      <w:pPr>
        <w:rPr>
          <w:sz w:val="24"/>
          <w:szCs w:val="24"/>
        </w:rPr>
      </w:pPr>
      <w:r w:rsidRPr="00756375">
        <w:rPr>
          <w:sz w:val="24"/>
          <w:szCs w:val="24"/>
        </w:rPr>
        <w:t xml:space="preserve">Through these focused programs and initiatives, Taft College is positioning itself to continue making strides in providing equitable access to higher education while fostering an environment of </w:t>
      </w:r>
      <w:r w:rsidRPr="00756375">
        <w:rPr>
          <w:sz w:val="24"/>
          <w:szCs w:val="24"/>
        </w:rPr>
        <w:lastRenderedPageBreak/>
        <w:t xml:space="preserve">academic excellence, workforce readiness, and sustainable growth. As the College approaches its next comprehensive self-evaluation, these efforts will provide a solid foundation for assessing its progress toward meeting institutional goals and addressing the needs of its diverse student population. </w:t>
      </w:r>
    </w:p>
    <w:p w14:paraId="181D9DD5" w14:textId="77777777" w:rsidR="00A56904" w:rsidRDefault="00A56904" w:rsidP="0013184A">
      <w:pPr>
        <w:rPr>
          <w:sz w:val="24"/>
          <w:szCs w:val="24"/>
        </w:rPr>
      </w:pPr>
    </w:p>
    <w:p w14:paraId="354B2612" w14:textId="77777777" w:rsidR="00A56904" w:rsidRPr="00AE3E71" w:rsidRDefault="00A56904" w:rsidP="00A56904">
      <w:pPr>
        <w:rPr>
          <w:sz w:val="24"/>
          <w:szCs w:val="24"/>
        </w:rPr>
      </w:pPr>
      <w:r w:rsidRPr="00AE3E71">
        <w:rPr>
          <w:b/>
          <w:bCs/>
          <w:sz w:val="24"/>
          <w:szCs w:val="24"/>
        </w:rPr>
        <w:t>External Factors:</w:t>
      </w:r>
    </w:p>
    <w:p w14:paraId="1F004B78" w14:textId="77777777" w:rsidR="00A56904" w:rsidRDefault="00A56904" w:rsidP="00A56904">
      <w:pPr>
        <w:rPr>
          <w:sz w:val="24"/>
          <w:szCs w:val="24"/>
        </w:rPr>
      </w:pPr>
      <w:r w:rsidRPr="00AE3E71">
        <w:rPr>
          <w:sz w:val="24"/>
          <w:szCs w:val="24"/>
        </w:rPr>
        <w:t>One external factor facing the college is population decline. Taft College is located in the city of Taft, California, located 35 miles west of Bakersfield. The total population of Taft in 2025 is 6,621. This is a decline of about 11% from the recorded population of 7,471 recorded in the 2020 census. A consistent decline of about 2.5% has been occurring annually in recent years (</w:t>
      </w:r>
      <w:hyperlink r:id="rId47" w:history="1">
        <w:r>
          <w:rPr>
            <w:rStyle w:val="Hyperlink"/>
            <w:sz w:val="24"/>
            <w:szCs w:val="24"/>
          </w:rPr>
          <w:t>Taft Population</w:t>
        </w:r>
      </w:hyperlink>
      <w:r w:rsidRPr="00AE3E71">
        <w:rPr>
          <w:sz w:val="24"/>
          <w:szCs w:val="24"/>
        </w:rPr>
        <w:t>). Population decline means fewer potential students. </w:t>
      </w:r>
    </w:p>
    <w:p w14:paraId="695C06A5" w14:textId="77777777" w:rsidR="00A56904" w:rsidRPr="00AE3E71" w:rsidRDefault="00A56904" w:rsidP="00A56904">
      <w:pPr>
        <w:rPr>
          <w:sz w:val="24"/>
          <w:szCs w:val="24"/>
        </w:rPr>
      </w:pPr>
    </w:p>
    <w:p w14:paraId="0A77CFCC" w14:textId="532F4EF8" w:rsidR="00A56904" w:rsidRDefault="00A56904" w:rsidP="00A56904">
      <w:pPr>
        <w:rPr>
          <w:sz w:val="24"/>
          <w:szCs w:val="24"/>
        </w:rPr>
      </w:pPr>
      <w:r>
        <w:rPr>
          <w:sz w:val="24"/>
          <w:szCs w:val="24"/>
        </w:rPr>
        <w:t>The second</w:t>
      </w:r>
      <w:r w:rsidRPr="00AE3E71">
        <w:rPr>
          <w:sz w:val="24"/>
          <w:szCs w:val="24"/>
        </w:rPr>
        <w:t xml:space="preserve"> external factor is the decline and economic instability of the oil and gas industry. The city of Taft, and the college itself, only exist due to the predominant oil and gas economy over the past 100 years. While legislation was very recently passed to support in-state oil production, the economic benefits will not occur immediately, likely delayed by at least a year. As technology changes rapidly, we will need to respond. </w:t>
      </w:r>
    </w:p>
    <w:p w14:paraId="316B6F25" w14:textId="77777777" w:rsidR="00A56904" w:rsidRPr="00AE3E71" w:rsidRDefault="00A56904" w:rsidP="00A56904">
      <w:pPr>
        <w:rPr>
          <w:sz w:val="24"/>
          <w:szCs w:val="24"/>
        </w:rPr>
      </w:pPr>
    </w:p>
    <w:p w14:paraId="0193B477" w14:textId="0523B51F" w:rsidR="00A56904" w:rsidRPr="00AE3E71" w:rsidRDefault="00A56904" w:rsidP="00A56904">
      <w:pPr>
        <w:rPr>
          <w:sz w:val="24"/>
          <w:szCs w:val="24"/>
        </w:rPr>
      </w:pPr>
      <w:r>
        <w:rPr>
          <w:sz w:val="24"/>
          <w:szCs w:val="24"/>
        </w:rPr>
        <w:t>The third</w:t>
      </w:r>
      <w:r w:rsidRPr="00AE3E71">
        <w:rPr>
          <w:sz w:val="24"/>
          <w:szCs w:val="24"/>
        </w:rPr>
        <w:t xml:space="preserve"> external factor is instability in federal immigration policies impacting higher education in our region. As an HSI, impacts to the college enrollment numbers are uncertain. </w:t>
      </w:r>
    </w:p>
    <w:p w14:paraId="1A7EDA6D" w14:textId="77777777" w:rsidR="00A56904" w:rsidRDefault="00A56904" w:rsidP="00A56904">
      <w:pPr>
        <w:rPr>
          <w:sz w:val="24"/>
          <w:szCs w:val="24"/>
        </w:rPr>
      </w:pPr>
      <w:r w:rsidRPr="00AE3E71">
        <w:rPr>
          <w:sz w:val="24"/>
          <w:szCs w:val="24"/>
        </w:rPr>
        <w:t>Another external factor currently vague in its impacts is the advent of AI across all of our programs and processes. While we are currently developing AI policies for the college and for faculty, the full effects remain unforeseen. </w:t>
      </w:r>
    </w:p>
    <w:bookmarkEnd w:id="15"/>
    <w:p w14:paraId="4B69337E" w14:textId="77777777" w:rsidR="0013184A" w:rsidRPr="00756375" w:rsidRDefault="0013184A" w:rsidP="0013184A">
      <w:pPr>
        <w:rPr>
          <w:sz w:val="24"/>
          <w:szCs w:val="24"/>
        </w:rPr>
      </w:pPr>
    </w:p>
    <w:p w14:paraId="19DB2521" w14:textId="77777777" w:rsidR="0013184A" w:rsidRPr="00756375" w:rsidRDefault="0013184A" w:rsidP="0013184A">
      <w:pPr>
        <w:widowControl/>
        <w:spacing w:after="200" w:line="276" w:lineRule="auto"/>
        <w:ind w:right="0"/>
        <w:rPr>
          <w:sz w:val="24"/>
          <w:szCs w:val="24"/>
        </w:rPr>
      </w:pPr>
    </w:p>
    <w:p w14:paraId="484B3E6B" w14:textId="432AF6E6" w:rsidR="00FA7134" w:rsidRPr="00756375" w:rsidRDefault="00FA7134" w:rsidP="0013184A">
      <w:pPr>
        <w:rPr>
          <w:sz w:val="24"/>
          <w:szCs w:val="24"/>
        </w:rPr>
      </w:pPr>
    </w:p>
    <w:sectPr w:rsidR="00FA7134" w:rsidRPr="00756375" w:rsidSect="001872C4">
      <w:footerReference w:type="default" r:id="rId48"/>
      <w:pgSz w:w="12240" w:h="15840"/>
      <w:pgMar w:top="1008" w:right="1152" w:bottom="720" w:left="1152"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4A77" w14:textId="77777777" w:rsidR="009F37F8" w:rsidRDefault="009F37F8" w:rsidP="00D47C67">
      <w:r>
        <w:separator/>
      </w:r>
    </w:p>
    <w:p w14:paraId="55427CB0" w14:textId="77777777" w:rsidR="009F37F8" w:rsidRDefault="009F37F8" w:rsidP="00D47C67"/>
  </w:endnote>
  <w:endnote w:type="continuationSeparator" w:id="0">
    <w:p w14:paraId="57D03BBF" w14:textId="77777777" w:rsidR="009F37F8" w:rsidRDefault="009F37F8" w:rsidP="00D47C67">
      <w:r>
        <w:continuationSeparator/>
      </w:r>
    </w:p>
    <w:p w14:paraId="6A90E9DF" w14:textId="77777777" w:rsidR="009F37F8" w:rsidRDefault="009F37F8" w:rsidP="00D4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28292"/>
      <w:docPartObj>
        <w:docPartGallery w:val="Page Numbers (Bottom of Page)"/>
        <w:docPartUnique/>
      </w:docPartObj>
    </w:sdtPr>
    <w:sdtEndPr>
      <w:rPr>
        <w:noProof/>
      </w:rPr>
    </w:sdtEndPr>
    <w:sdtContent>
      <w:p w14:paraId="2D6949A1" w14:textId="02AB428B" w:rsidR="00F05163" w:rsidRDefault="00F05163" w:rsidP="00A53E29">
        <w:pPr>
          <w:pStyle w:val="Footer"/>
          <w:jc w:val="right"/>
        </w:pPr>
        <w:r>
          <w:fldChar w:fldCharType="begin"/>
        </w:r>
        <w:r>
          <w:instrText xml:space="preserve"> PAGE   \* MERGEFORMAT </w:instrText>
        </w:r>
        <w:r>
          <w:fldChar w:fldCharType="separate"/>
        </w:r>
        <w:r w:rsidR="00740E1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11F0" w14:textId="77777777" w:rsidR="009F37F8" w:rsidRDefault="009F37F8" w:rsidP="00D47C67">
      <w:r>
        <w:separator/>
      </w:r>
    </w:p>
    <w:p w14:paraId="6B3F0FA2" w14:textId="77777777" w:rsidR="009F37F8" w:rsidRDefault="009F37F8" w:rsidP="00D47C67"/>
  </w:footnote>
  <w:footnote w:type="continuationSeparator" w:id="0">
    <w:p w14:paraId="70B15FC0" w14:textId="77777777" w:rsidR="009F37F8" w:rsidRDefault="009F37F8" w:rsidP="00D47C67">
      <w:r>
        <w:continuationSeparator/>
      </w:r>
    </w:p>
    <w:p w14:paraId="5FB32955" w14:textId="77777777" w:rsidR="009F37F8" w:rsidRDefault="009F37F8" w:rsidP="00D47C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876"/>
    <w:multiLevelType w:val="hybridMultilevel"/>
    <w:tmpl w:val="6DD4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87C8B"/>
    <w:multiLevelType w:val="hybridMultilevel"/>
    <w:tmpl w:val="63CE3C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FC52999"/>
    <w:multiLevelType w:val="hybridMultilevel"/>
    <w:tmpl w:val="CEF65422"/>
    <w:lvl w:ilvl="0" w:tplc="FF7CC6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76CC0"/>
    <w:multiLevelType w:val="hybridMultilevel"/>
    <w:tmpl w:val="3C38A63A"/>
    <w:lvl w:ilvl="0" w:tplc="7D84C9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65F3D"/>
    <w:multiLevelType w:val="hybridMultilevel"/>
    <w:tmpl w:val="71240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B3D37"/>
    <w:multiLevelType w:val="hybridMultilevel"/>
    <w:tmpl w:val="30186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042A1"/>
    <w:multiLevelType w:val="hybridMultilevel"/>
    <w:tmpl w:val="A5A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C74B5"/>
    <w:multiLevelType w:val="hybridMultilevel"/>
    <w:tmpl w:val="321E0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C430B0"/>
    <w:multiLevelType w:val="hybridMultilevel"/>
    <w:tmpl w:val="E8E6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3B99"/>
    <w:multiLevelType w:val="multilevel"/>
    <w:tmpl w:val="5E8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C3DA8"/>
    <w:multiLevelType w:val="hybridMultilevel"/>
    <w:tmpl w:val="3EF8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768D"/>
    <w:multiLevelType w:val="hybridMultilevel"/>
    <w:tmpl w:val="7598DB70"/>
    <w:lvl w:ilvl="0" w:tplc="DC566B94">
      <w:start w:val="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F5B2E"/>
    <w:multiLevelType w:val="hybridMultilevel"/>
    <w:tmpl w:val="DEE6E22E"/>
    <w:lvl w:ilvl="0" w:tplc="072EBD34">
      <w:start w:val="1"/>
      <w:numFmt w:val="upperLetter"/>
      <w:lvlText w:val="%1."/>
      <w:lvlJc w:val="left"/>
      <w:pPr>
        <w:ind w:left="647" w:hanging="548"/>
      </w:pPr>
      <w:rPr>
        <w:rFonts w:ascii="Times New Roman" w:eastAsia="Trebuchet MS" w:hAnsi="Times New Roman" w:cs="Times New Roman" w:hint="default"/>
        <w:b/>
        <w:bCs/>
        <w:spacing w:val="-1"/>
        <w:w w:val="99"/>
        <w:sz w:val="24"/>
        <w:szCs w:val="26"/>
      </w:rPr>
    </w:lvl>
    <w:lvl w:ilvl="1" w:tplc="7C24EE36">
      <w:start w:val="1"/>
      <w:numFmt w:val="decimal"/>
      <w:lvlText w:val="%2."/>
      <w:lvlJc w:val="left"/>
      <w:pPr>
        <w:ind w:left="1180" w:hanging="533"/>
      </w:pPr>
      <w:rPr>
        <w:rFonts w:ascii="Times New Roman" w:eastAsia="Trebuchet MS" w:hAnsi="Times New Roman" w:cs="Times New Roman" w:hint="default"/>
        <w:spacing w:val="-1"/>
        <w:sz w:val="24"/>
        <w:szCs w:val="22"/>
      </w:rPr>
    </w:lvl>
    <w:lvl w:ilvl="2" w:tplc="28F0EF26">
      <w:start w:val="1"/>
      <w:numFmt w:val="bullet"/>
      <w:lvlText w:val="•"/>
      <w:lvlJc w:val="left"/>
      <w:pPr>
        <w:ind w:left="1574" w:hanging="394"/>
      </w:pPr>
      <w:rPr>
        <w:rFonts w:ascii="Trebuchet MS" w:eastAsia="Trebuchet MS" w:hAnsi="Trebuchet MS" w:hint="default"/>
        <w:sz w:val="24"/>
        <w:szCs w:val="24"/>
      </w:rPr>
    </w:lvl>
    <w:lvl w:ilvl="3" w:tplc="23D024AE">
      <w:start w:val="1"/>
      <w:numFmt w:val="bullet"/>
      <w:lvlText w:val="•"/>
      <w:lvlJc w:val="left"/>
      <w:pPr>
        <w:ind w:left="2574" w:hanging="394"/>
      </w:pPr>
      <w:rPr>
        <w:rFonts w:hint="default"/>
      </w:rPr>
    </w:lvl>
    <w:lvl w:ilvl="4" w:tplc="7E20F172">
      <w:start w:val="1"/>
      <w:numFmt w:val="bullet"/>
      <w:lvlText w:val="•"/>
      <w:lvlJc w:val="left"/>
      <w:pPr>
        <w:ind w:left="3575" w:hanging="394"/>
      </w:pPr>
      <w:rPr>
        <w:rFonts w:hint="default"/>
      </w:rPr>
    </w:lvl>
    <w:lvl w:ilvl="5" w:tplc="418AA2A0">
      <w:start w:val="1"/>
      <w:numFmt w:val="bullet"/>
      <w:lvlText w:val="•"/>
      <w:lvlJc w:val="left"/>
      <w:pPr>
        <w:ind w:left="4576" w:hanging="394"/>
      </w:pPr>
      <w:rPr>
        <w:rFonts w:hint="default"/>
      </w:rPr>
    </w:lvl>
    <w:lvl w:ilvl="6" w:tplc="51BE4A28">
      <w:start w:val="1"/>
      <w:numFmt w:val="bullet"/>
      <w:lvlText w:val="•"/>
      <w:lvlJc w:val="left"/>
      <w:pPr>
        <w:ind w:left="5577" w:hanging="394"/>
      </w:pPr>
      <w:rPr>
        <w:rFonts w:hint="default"/>
      </w:rPr>
    </w:lvl>
    <w:lvl w:ilvl="7" w:tplc="5ED6A190">
      <w:start w:val="1"/>
      <w:numFmt w:val="bullet"/>
      <w:lvlText w:val="•"/>
      <w:lvlJc w:val="left"/>
      <w:pPr>
        <w:ind w:left="6577" w:hanging="394"/>
      </w:pPr>
      <w:rPr>
        <w:rFonts w:hint="default"/>
      </w:rPr>
    </w:lvl>
    <w:lvl w:ilvl="8" w:tplc="7B3E97CC">
      <w:start w:val="1"/>
      <w:numFmt w:val="bullet"/>
      <w:lvlText w:val="•"/>
      <w:lvlJc w:val="left"/>
      <w:pPr>
        <w:ind w:left="7578" w:hanging="394"/>
      </w:pPr>
      <w:rPr>
        <w:rFonts w:hint="default"/>
      </w:rPr>
    </w:lvl>
  </w:abstractNum>
  <w:abstractNum w:abstractNumId="13" w15:restartNumberingAfterBreak="0">
    <w:nsid w:val="384D25B5"/>
    <w:multiLevelType w:val="hybridMultilevel"/>
    <w:tmpl w:val="C6F89A0C"/>
    <w:lvl w:ilvl="0" w:tplc="3DE87B62">
      <w:start w:val="1"/>
      <w:numFmt w:val="decimal"/>
      <w:lvlText w:val="%1."/>
      <w:lvlJc w:val="left"/>
      <w:pPr>
        <w:ind w:left="548" w:hanging="548"/>
      </w:pPr>
      <w:rPr>
        <w:rFonts w:hint="default"/>
        <w:b/>
        <w:bCs/>
        <w:spacing w:val="-1"/>
        <w:w w:val="99"/>
        <w:sz w:val="24"/>
        <w:szCs w:val="24"/>
      </w:rPr>
    </w:lvl>
    <w:lvl w:ilvl="1" w:tplc="02F49636">
      <w:start w:val="1"/>
      <w:numFmt w:val="decimal"/>
      <w:lvlText w:val="%2."/>
      <w:lvlJc w:val="left"/>
      <w:pPr>
        <w:ind w:left="1081" w:hanging="540"/>
      </w:pPr>
      <w:rPr>
        <w:rFonts w:ascii="Times New Roman" w:eastAsia="Trebuchet MS" w:hAnsi="Times New Roman" w:cs="Times New Roman"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14" w15:restartNumberingAfterBreak="0">
    <w:nsid w:val="390D5F9F"/>
    <w:multiLevelType w:val="hybridMultilevel"/>
    <w:tmpl w:val="272C3214"/>
    <w:lvl w:ilvl="0" w:tplc="015A57F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87642"/>
    <w:multiLevelType w:val="hybridMultilevel"/>
    <w:tmpl w:val="5A14353E"/>
    <w:lvl w:ilvl="0" w:tplc="00AAF0F0">
      <w:start w:val="1"/>
      <w:numFmt w:val="upperLetter"/>
      <w:lvlText w:val="%1."/>
      <w:lvlJc w:val="left"/>
      <w:pPr>
        <w:ind w:left="548" w:hanging="548"/>
      </w:pPr>
      <w:rPr>
        <w:rFonts w:asciiTheme="minorHAnsi" w:eastAsia="Trebuchet MS" w:hAnsiTheme="minorHAnsi" w:cstheme="minorHAnsi" w:hint="default"/>
        <w:b/>
        <w:bCs/>
        <w:spacing w:val="-1"/>
        <w:w w:val="99"/>
        <w:sz w:val="24"/>
        <w:szCs w:val="24"/>
      </w:rPr>
    </w:lvl>
    <w:lvl w:ilvl="1" w:tplc="8922637A">
      <w:start w:val="1"/>
      <w:numFmt w:val="decimal"/>
      <w:lvlText w:val="%2."/>
      <w:lvlJc w:val="left"/>
      <w:pPr>
        <w:ind w:left="1081" w:hanging="533"/>
        <w:jc w:val="right"/>
      </w:pPr>
      <w:rPr>
        <w:rFonts w:ascii="Times New Roman" w:eastAsia="Trebuchet MS" w:hAnsi="Times New Roman" w:cs="Times New Roman" w:hint="default"/>
        <w:spacing w:val="-1"/>
        <w:sz w:val="24"/>
        <w:szCs w:val="22"/>
      </w:rPr>
    </w:lvl>
    <w:lvl w:ilvl="2" w:tplc="D2B4CE48">
      <w:start w:val="1"/>
      <w:numFmt w:val="bullet"/>
      <w:lvlText w:val="•"/>
      <w:lvlJc w:val="left"/>
      <w:pPr>
        <w:ind w:left="2014" w:hanging="533"/>
      </w:pPr>
      <w:rPr>
        <w:rFonts w:hint="default"/>
      </w:rPr>
    </w:lvl>
    <w:lvl w:ilvl="3" w:tplc="479EE502">
      <w:start w:val="1"/>
      <w:numFmt w:val="bullet"/>
      <w:lvlText w:val="•"/>
      <w:lvlJc w:val="left"/>
      <w:pPr>
        <w:ind w:left="2947" w:hanging="533"/>
      </w:pPr>
      <w:rPr>
        <w:rFonts w:hint="default"/>
      </w:rPr>
    </w:lvl>
    <w:lvl w:ilvl="4" w:tplc="0F78EA44">
      <w:start w:val="1"/>
      <w:numFmt w:val="bullet"/>
      <w:lvlText w:val="•"/>
      <w:lvlJc w:val="left"/>
      <w:pPr>
        <w:ind w:left="3881" w:hanging="533"/>
      </w:pPr>
      <w:rPr>
        <w:rFonts w:hint="default"/>
      </w:rPr>
    </w:lvl>
    <w:lvl w:ilvl="5" w:tplc="F87C6124">
      <w:start w:val="1"/>
      <w:numFmt w:val="bullet"/>
      <w:lvlText w:val="•"/>
      <w:lvlJc w:val="left"/>
      <w:pPr>
        <w:ind w:left="4814" w:hanging="533"/>
      </w:pPr>
      <w:rPr>
        <w:rFonts w:hint="default"/>
      </w:rPr>
    </w:lvl>
    <w:lvl w:ilvl="6" w:tplc="1B341B18">
      <w:start w:val="1"/>
      <w:numFmt w:val="bullet"/>
      <w:lvlText w:val="•"/>
      <w:lvlJc w:val="left"/>
      <w:pPr>
        <w:ind w:left="5747" w:hanging="533"/>
      </w:pPr>
      <w:rPr>
        <w:rFonts w:hint="default"/>
      </w:rPr>
    </w:lvl>
    <w:lvl w:ilvl="7" w:tplc="A6385FCE">
      <w:start w:val="1"/>
      <w:numFmt w:val="bullet"/>
      <w:lvlText w:val="•"/>
      <w:lvlJc w:val="left"/>
      <w:pPr>
        <w:ind w:left="6681" w:hanging="533"/>
      </w:pPr>
      <w:rPr>
        <w:rFonts w:hint="default"/>
      </w:rPr>
    </w:lvl>
    <w:lvl w:ilvl="8" w:tplc="D026E86E">
      <w:start w:val="1"/>
      <w:numFmt w:val="bullet"/>
      <w:lvlText w:val="•"/>
      <w:lvlJc w:val="left"/>
      <w:pPr>
        <w:ind w:left="7614" w:hanging="533"/>
      </w:pPr>
      <w:rPr>
        <w:rFonts w:hint="default"/>
      </w:rPr>
    </w:lvl>
  </w:abstractNum>
  <w:abstractNum w:abstractNumId="16" w15:restartNumberingAfterBreak="0">
    <w:nsid w:val="3F015935"/>
    <w:multiLevelType w:val="hybridMultilevel"/>
    <w:tmpl w:val="41C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B079B"/>
    <w:multiLevelType w:val="hybridMultilevel"/>
    <w:tmpl w:val="0BEA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E6418"/>
    <w:multiLevelType w:val="hybridMultilevel"/>
    <w:tmpl w:val="4F9A41BC"/>
    <w:lvl w:ilvl="0" w:tplc="28244930">
      <w:start w:val="1"/>
      <w:numFmt w:val="bullet"/>
      <w:lvlText w:val="•"/>
      <w:lvlJc w:val="left"/>
      <w:pPr>
        <w:tabs>
          <w:tab w:val="num" w:pos="720"/>
        </w:tabs>
        <w:ind w:left="720" w:hanging="360"/>
      </w:pPr>
      <w:rPr>
        <w:rFonts w:ascii="Arial" w:hAnsi="Arial" w:hint="default"/>
      </w:rPr>
    </w:lvl>
    <w:lvl w:ilvl="1" w:tplc="3E6AB5EA">
      <w:start w:val="1"/>
      <w:numFmt w:val="bullet"/>
      <w:lvlText w:val="•"/>
      <w:lvlJc w:val="left"/>
      <w:pPr>
        <w:tabs>
          <w:tab w:val="num" w:pos="1440"/>
        </w:tabs>
        <w:ind w:left="1440" w:hanging="360"/>
      </w:pPr>
      <w:rPr>
        <w:rFonts w:ascii="Arial" w:hAnsi="Aria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DA7A4B"/>
    <w:multiLevelType w:val="hybridMultilevel"/>
    <w:tmpl w:val="A9F49750"/>
    <w:lvl w:ilvl="0" w:tplc="2824493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4426DE80" w:tentative="1">
      <w:start w:val="1"/>
      <w:numFmt w:val="bullet"/>
      <w:lvlText w:val="•"/>
      <w:lvlJc w:val="left"/>
      <w:pPr>
        <w:tabs>
          <w:tab w:val="num" w:pos="2160"/>
        </w:tabs>
        <w:ind w:left="2160" w:hanging="360"/>
      </w:pPr>
      <w:rPr>
        <w:rFonts w:ascii="Arial" w:hAnsi="Arial" w:hint="default"/>
      </w:rPr>
    </w:lvl>
    <w:lvl w:ilvl="3" w:tplc="8E3891B6" w:tentative="1">
      <w:start w:val="1"/>
      <w:numFmt w:val="bullet"/>
      <w:lvlText w:val="•"/>
      <w:lvlJc w:val="left"/>
      <w:pPr>
        <w:tabs>
          <w:tab w:val="num" w:pos="2880"/>
        </w:tabs>
        <w:ind w:left="2880" w:hanging="360"/>
      </w:pPr>
      <w:rPr>
        <w:rFonts w:ascii="Arial" w:hAnsi="Arial" w:hint="default"/>
      </w:rPr>
    </w:lvl>
    <w:lvl w:ilvl="4" w:tplc="85D4B694" w:tentative="1">
      <w:start w:val="1"/>
      <w:numFmt w:val="bullet"/>
      <w:lvlText w:val="•"/>
      <w:lvlJc w:val="left"/>
      <w:pPr>
        <w:tabs>
          <w:tab w:val="num" w:pos="3600"/>
        </w:tabs>
        <w:ind w:left="3600" w:hanging="360"/>
      </w:pPr>
      <w:rPr>
        <w:rFonts w:ascii="Arial" w:hAnsi="Arial" w:hint="default"/>
      </w:rPr>
    </w:lvl>
    <w:lvl w:ilvl="5" w:tplc="ECD668FA" w:tentative="1">
      <w:start w:val="1"/>
      <w:numFmt w:val="bullet"/>
      <w:lvlText w:val="•"/>
      <w:lvlJc w:val="left"/>
      <w:pPr>
        <w:tabs>
          <w:tab w:val="num" w:pos="4320"/>
        </w:tabs>
        <w:ind w:left="4320" w:hanging="360"/>
      </w:pPr>
      <w:rPr>
        <w:rFonts w:ascii="Arial" w:hAnsi="Arial" w:hint="default"/>
      </w:rPr>
    </w:lvl>
    <w:lvl w:ilvl="6" w:tplc="B8CE3F88" w:tentative="1">
      <w:start w:val="1"/>
      <w:numFmt w:val="bullet"/>
      <w:lvlText w:val="•"/>
      <w:lvlJc w:val="left"/>
      <w:pPr>
        <w:tabs>
          <w:tab w:val="num" w:pos="5040"/>
        </w:tabs>
        <w:ind w:left="5040" w:hanging="360"/>
      </w:pPr>
      <w:rPr>
        <w:rFonts w:ascii="Arial" w:hAnsi="Arial" w:hint="default"/>
      </w:rPr>
    </w:lvl>
    <w:lvl w:ilvl="7" w:tplc="CD782934" w:tentative="1">
      <w:start w:val="1"/>
      <w:numFmt w:val="bullet"/>
      <w:lvlText w:val="•"/>
      <w:lvlJc w:val="left"/>
      <w:pPr>
        <w:tabs>
          <w:tab w:val="num" w:pos="5760"/>
        </w:tabs>
        <w:ind w:left="5760" w:hanging="360"/>
      </w:pPr>
      <w:rPr>
        <w:rFonts w:ascii="Arial" w:hAnsi="Arial" w:hint="default"/>
      </w:rPr>
    </w:lvl>
    <w:lvl w:ilvl="8" w:tplc="199A74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381FE5"/>
    <w:multiLevelType w:val="hybridMultilevel"/>
    <w:tmpl w:val="F6D625A0"/>
    <w:lvl w:ilvl="0" w:tplc="CEBC7662">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2F645A"/>
    <w:multiLevelType w:val="hybridMultilevel"/>
    <w:tmpl w:val="60400256"/>
    <w:lvl w:ilvl="0" w:tplc="0F080D58">
      <w:start w:val="1"/>
      <w:numFmt w:val="decimal"/>
      <w:lvlText w:val="%1."/>
      <w:lvlJc w:val="left"/>
      <w:pPr>
        <w:ind w:left="820" w:hanging="360"/>
      </w:pPr>
      <w:rPr>
        <w:rFonts w:ascii="Trebuchet MS" w:eastAsia="Trebuchet MS" w:hAnsi="Trebuchet MS" w:hint="default"/>
        <w:b/>
        <w:bCs/>
        <w:sz w:val="24"/>
        <w:szCs w:val="24"/>
      </w:rPr>
    </w:lvl>
    <w:lvl w:ilvl="1" w:tplc="34121B44">
      <w:start w:val="1"/>
      <w:numFmt w:val="bullet"/>
      <w:lvlText w:val="•"/>
      <w:lvlJc w:val="left"/>
      <w:pPr>
        <w:ind w:left="1396" w:hanging="387"/>
      </w:pPr>
      <w:rPr>
        <w:rFonts w:ascii="Trebuchet MS" w:eastAsia="Trebuchet MS" w:hAnsi="Trebuchet MS" w:hint="default"/>
        <w:sz w:val="24"/>
        <w:szCs w:val="24"/>
      </w:rPr>
    </w:lvl>
    <w:lvl w:ilvl="2" w:tplc="73A6331E">
      <w:start w:val="1"/>
      <w:numFmt w:val="bullet"/>
      <w:lvlText w:val="•"/>
      <w:lvlJc w:val="left"/>
      <w:pPr>
        <w:ind w:left="1396" w:hanging="387"/>
      </w:pPr>
      <w:rPr>
        <w:rFonts w:hint="default"/>
      </w:rPr>
    </w:lvl>
    <w:lvl w:ilvl="3" w:tplc="5A2CAE46">
      <w:start w:val="1"/>
      <w:numFmt w:val="bullet"/>
      <w:lvlText w:val="•"/>
      <w:lvlJc w:val="left"/>
      <w:pPr>
        <w:ind w:left="2419" w:hanging="387"/>
      </w:pPr>
      <w:rPr>
        <w:rFonts w:hint="default"/>
      </w:rPr>
    </w:lvl>
    <w:lvl w:ilvl="4" w:tplc="42204B2A">
      <w:start w:val="1"/>
      <w:numFmt w:val="bullet"/>
      <w:lvlText w:val="•"/>
      <w:lvlJc w:val="left"/>
      <w:pPr>
        <w:ind w:left="3442" w:hanging="387"/>
      </w:pPr>
      <w:rPr>
        <w:rFonts w:hint="default"/>
      </w:rPr>
    </w:lvl>
    <w:lvl w:ilvl="5" w:tplc="19A6730C">
      <w:start w:val="1"/>
      <w:numFmt w:val="bullet"/>
      <w:lvlText w:val="•"/>
      <w:lvlJc w:val="left"/>
      <w:pPr>
        <w:ind w:left="4465" w:hanging="387"/>
      </w:pPr>
      <w:rPr>
        <w:rFonts w:hint="default"/>
      </w:rPr>
    </w:lvl>
    <w:lvl w:ilvl="6" w:tplc="EDF44C48">
      <w:start w:val="1"/>
      <w:numFmt w:val="bullet"/>
      <w:lvlText w:val="•"/>
      <w:lvlJc w:val="left"/>
      <w:pPr>
        <w:ind w:left="5488" w:hanging="387"/>
      </w:pPr>
      <w:rPr>
        <w:rFonts w:hint="default"/>
      </w:rPr>
    </w:lvl>
    <w:lvl w:ilvl="7" w:tplc="CFD0DD92">
      <w:start w:val="1"/>
      <w:numFmt w:val="bullet"/>
      <w:lvlText w:val="•"/>
      <w:lvlJc w:val="left"/>
      <w:pPr>
        <w:ind w:left="6511" w:hanging="387"/>
      </w:pPr>
      <w:rPr>
        <w:rFonts w:hint="default"/>
      </w:rPr>
    </w:lvl>
    <w:lvl w:ilvl="8" w:tplc="C9FA07BE">
      <w:start w:val="1"/>
      <w:numFmt w:val="bullet"/>
      <w:lvlText w:val="•"/>
      <w:lvlJc w:val="left"/>
      <w:pPr>
        <w:ind w:left="7534" w:hanging="387"/>
      </w:pPr>
      <w:rPr>
        <w:rFonts w:hint="default"/>
      </w:rPr>
    </w:lvl>
  </w:abstractNum>
  <w:abstractNum w:abstractNumId="22" w15:restartNumberingAfterBreak="0">
    <w:nsid w:val="51DD63BB"/>
    <w:multiLevelType w:val="hybridMultilevel"/>
    <w:tmpl w:val="674EB7B2"/>
    <w:lvl w:ilvl="0" w:tplc="0818FD92">
      <w:start w:val="1"/>
      <w:numFmt w:val="decimal"/>
      <w:lvlText w:val="2.%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208EB"/>
    <w:multiLevelType w:val="hybridMultilevel"/>
    <w:tmpl w:val="BF826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4A57"/>
    <w:multiLevelType w:val="hybridMultilevel"/>
    <w:tmpl w:val="6ECA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718C1"/>
    <w:multiLevelType w:val="hybridMultilevel"/>
    <w:tmpl w:val="7B584D7A"/>
    <w:lvl w:ilvl="0" w:tplc="015A57FA">
      <w:start w:val="10"/>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6" w15:restartNumberingAfterBreak="0">
    <w:nsid w:val="5B342748"/>
    <w:multiLevelType w:val="hybridMultilevel"/>
    <w:tmpl w:val="8D86F8D8"/>
    <w:lvl w:ilvl="0" w:tplc="58E6D6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7C0A83"/>
    <w:multiLevelType w:val="hybridMultilevel"/>
    <w:tmpl w:val="CF4E800C"/>
    <w:lvl w:ilvl="0" w:tplc="02F49636">
      <w:start w:val="1"/>
      <w:numFmt w:val="decimal"/>
      <w:lvlText w:val="%1."/>
      <w:lvlJc w:val="left"/>
      <w:pPr>
        <w:ind w:left="540" w:hanging="540"/>
      </w:pPr>
      <w:rPr>
        <w:rFonts w:ascii="Times New Roman" w:eastAsia="Trebuchet MS" w:hAnsi="Times New Roman" w:cs="Times New Roman" w:hint="default"/>
        <w:spacing w:val="-1"/>
        <w:sz w:val="24"/>
        <w:szCs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8" w15:restartNumberingAfterBreak="0">
    <w:nsid w:val="617D439F"/>
    <w:multiLevelType w:val="hybridMultilevel"/>
    <w:tmpl w:val="15328B28"/>
    <w:lvl w:ilvl="0" w:tplc="F50EC42C">
      <w:start w:val="1"/>
      <w:numFmt w:val="upperLetter"/>
      <w:lvlText w:val="%1."/>
      <w:lvlJc w:val="left"/>
      <w:pPr>
        <w:ind w:left="548" w:hanging="548"/>
      </w:pPr>
      <w:rPr>
        <w:rFonts w:ascii="Times New Roman" w:eastAsia="Trebuchet MS" w:hAnsi="Times New Roman" w:cs="Times New Roman" w:hint="default"/>
        <w:b/>
        <w:bCs/>
        <w:spacing w:val="-1"/>
        <w:w w:val="99"/>
        <w:sz w:val="24"/>
        <w:szCs w:val="24"/>
      </w:rPr>
    </w:lvl>
    <w:lvl w:ilvl="1" w:tplc="0409000F">
      <w:start w:val="1"/>
      <w:numFmt w:val="decimal"/>
      <w:lvlText w:val="%2."/>
      <w:lvlJc w:val="left"/>
      <w:pPr>
        <w:ind w:left="1081" w:hanging="540"/>
      </w:pPr>
      <w:rPr>
        <w:rFonts w:hint="default"/>
        <w:spacing w:val="-1"/>
        <w:sz w:val="24"/>
        <w:szCs w:val="24"/>
      </w:rPr>
    </w:lvl>
    <w:lvl w:ilvl="2" w:tplc="C9FA1218">
      <w:start w:val="1"/>
      <w:numFmt w:val="bullet"/>
      <w:lvlText w:val="•"/>
      <w:lvlJc w:val="left"/>
      <w:pPr>
        <w:ind w:left="1081" w:hanging="540"/>
      </w:pPr>
      <w:rPr>
        <w:rFonts w:hint="default"/>
      </w:rPr>
    </w:lvl>
    <w:lvl w:ilvl="3" w:tplc="81A63BAC">
      <w:start w:val="1"/>
      <w:numFmt w:val="bullet"/>
      <w:lvlText w:val="•"/>
      <w:lvlJc w:val="left"/>
      <w:pPr>
        <w:ind w:left="2128" w:hanging="540"/>
      </w:pPr>
      <w:rPr>
        <w:rFonts w:hint="default"/>
      </w:rPr>
    </w:lvl>
    <w:lvl w:ilvl="4" w:tplc="A9C6811E">
      <w:start w:val="1"/>
      <w:numFmt w:val="bullet"/>
      <w:lvlText w:val="•"/>
      <w:lvlJc w:val="left"/>
      <w:pPr>
        <w:ind w:left="3176" w:hanging="540"/>
      </w:pPr>
      <w:rPr>
        <w:rFonts w:hint="default"/>
      </w:rPr>
    </w:lvl>
    <w:lvl w:ilvl="5" w:tplc="DF5A4388">
      <w:start w:val="1"/>
      <w:numFmt w:val="bullet"/>
      <w:lvlText w:val="•"/>
      <w:lvlJc w:val="left"/>
      <w:pPr>
        <w:ind w:left="4223" w:hanging="540"/>
      </w:pPr>
      <w:rPr>
        <w:rFonts w:hint="default"/>
      </w:rPr>
    </w:lvl>
    <w:lvl w:ilvl="6" w:tplc="25BAC8F2">
      <w:start w:val="1"/>
      <w:numFmt w:val="bullet"/>
      <w:lvlText w:val="•"/>
      <w:lvlJc w:val="left"/>
      <w:pPr>
        <w:ind w:left="5271" w:hanging="540"/>
      </w:pPr>
      <w:rPr>
        <w:rFonts w:hint="default"/>
      </w:rPr>
    </w:lvl>
    <w:lvl w:ilvl="7" w:tplc="5E64B930">
      <w:start w:val="1"/>
      <w:numFmt w:val="bullet"/>
      <w:lvlText w:val="•"/>
      <w:lvlJc w:val="left"/>
      <w:pPr>
        <w:ind w:left="6318" w:hanging="540"/>
      </w:pPr>
      <w:rPr>
        <w:rFonts w:hint="default"/>
      </w:rPr>
    </w:lvl>
    <w:lvl w:ilvl="8" w:tplc="1E865FB6">
      <w:start w:val="1"/>
      <w:numFmt w:val="bullet"/>
      <w:lvlText w:val="•"/>
      <w:lvlJc w:val="left"/>
      <w:pPr>
        <w:ind w:left="7366" w:hanging="540"/>
      </w:pPr>
      <w:rPr>
        <w:rFonts w:hint="default"/>
      </w:rPr>
    </w:lvl>
  </w:abstractNum>
  <w:abstractNum w:abstractNumId="29" w15:restartNumberingAfterBreak="0">
    <w:nsid w:val="673534F6"/>
    <w:multiLevelType w:val="hybridMultilevel"/>
    <w:tmpl w:val="091C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654AA"/>
    <w:multiLevelType w:val="hybridMultilevel"/>
    <w:tmpl w:val="1F6000DC"/>
    <w:lvl w:ilvl="0" w:tplc="37424394">
      <w:start w:val="1"/>
      <w:numFmt w:val="upperLetter"/>
      <w:lvlText w:val="%1."/>
      <w:lvlJc w:val="left"/>
      <w:pPr>
        <w:ind w:left="548" w:hanging="548"/>
      </w:pPr>
      <w:rPr>
        <w:rFonts w:asciiTheme="minorHAnsi" w:eastAsia="Trebuchet MS" w:hAnsiTheme="minorHAnsi" w:cstheme="minorHAnsi" w:hint="default"/>
        <w:b/>
        <w:bCs/>
        <w:spacing w:val="-1"/>
        <w:w w:val="99"/>
        <w:sz w:val="24"/>
        <w:szCs w:val="26"/>
      </w:rPr>
    </w:lvl>
    <w:lvl w:ilvl="1" w:tplc="6310C4FC">
      <w:start w:val="1"/>
      <w:numFmt w:val="decimal"/>
      <w:lvlText w:val="%2."/>
      <w:lvlJc w:val="left"/>
      <w:pPr>
        <w:ind w:left="1081" w:hanging="533"/>
      </w:pPr>
      <w:rPr>
        <w:rFonts w:ascii="Times New Roman" w:eastAsia="Trebuchet MS" w:hAnsi="Times New Roman" w:cs="Times New Roman" w:hint="default"/>
        <w:spacing w:val="-1"/>
        <w:sz w:val="24"/>
        <w:szCs w:val="22"/>
      </w:rPr>
    </w:lvl>
    <w:lvl w:ilvl="2" w:tplc="0F1AC844">
      <w:start w:val="1"/>
      <w:numFmt w:val="bullet"/>
      <w:lvlText w:val="•"/>
      <w:lvlJc w:val="left"/>
      <w:pPr>
        <w:ind w:left="1095" w:hanging="533"/>
      </w:pPr>
      <w:rPr>
        <w:rFonts w:hint="default"/>
      </w:rPr>
    </w:lvl>
    <w:lvl w:ilvl="3" w:tplc="8C50797E">
      <w:start w:val="1"/>
      <w:numFmt w:val="bullet"/>
      <w:lvlText w:val="•"/>
      <w:lvlJc w:val="left"/>
      <w:pPr>
        <w:ind w:left="2143" w:hanging="533"/>
      </w:pPr>
      <w:rPr>
        <w:rFonts w:hint="default"/>
      </w:rPr>
    </w:lvl>
    <w:lvl w:ilvl="4" w:tplc="5824E95C">
      <w:start w:val="1"/>
      <w:numFmt w:val="bullet"/>
      <w:lvlText w:val="•"/>
      <w:lvlJc w:val="left"/>
      <w:pPr>
        <w:ind w:left="3192" w:hanging="533"/>
      </w:pPr>
      <w:rPr>
        <w:rFonts w:hint="default"/>
      </w:rPr>
    </w:lvl>
    <w:lvl w:ilvl="5" w:tplc="F5DC81C8">
      <w:start w:val="1"/>
      <w:numFmt w:val="bullet"/>
      <w:lvlText w:val="•"/>
      <w:lvlJc w:val="left"/>
      <w:pPr>
        <w:ind w:left="4240" w:hanging="533"/>
      </w:pPr>
      <w:rPr>
        <w:rFonts w:hint="default"/>
      </w:rPr>
    </w:lvl>
    <w:lvl w:ilvl="6" w:tplc="48483DFC">
      <w:start w:val="1"/>
      <w:numFmt w:val="bullet"/>
      <w:lvlText w:val="•"/>
      <w:lvlJc w:val="left"/>
      <w:pPr>
        <w:ind w:left="5288" w:hanging="533"/>
      </w:pPr>
      <w:rPr>
        <w:rFonts w:hint="default"/>
      </w:rPr>
    </w:lvl>
    <w:lvl w:ilvl="7" w:tplc="62F6EAB0">
      <w:start w:val="1"/>
      <w:numFmt w:val="bullet"/>
      <w:lvlText w:val="•"/>
      <w:lvlJc w:val="left"/>
      <w:pPr>
        <w:ind w:left="6336" w:hanging="533"/>
      </w:pPr>
      <w:rPr>
        <w:rFonts w:hint="default"/>
      </w:rPr>
    </w:lvl>
    <w:lvl w:ilvl="8" w:tplc="12300BAE">
      <w:start w:val="1"/>
      <w:numFmt w:val="bullet"/>
      <w:lvlText w:val="•"/>
      <w:lvlJc w:val="left"/>
      <w:pPr>
        <w:ind w:left="7384" w:hanging="533"/>
      </w:pPr>
      <w:rPr>
        <w:rFonts w:hint="default"/>
      </w:rPr>
    </w:lvl>
  </w:abstractNum>
  <w:abstractNum w:abstractNumId="31" w15:restartNumberingAfterBreak="0">
    <w:nsid w:val="6B0C0511"/>
    <w:multiLevelType w:val="hybridMultilevel"/>
    <w:tmpl w:val="28C2DF96"/>
    <w:lvl w:ilvl="0" w:tplc="17100930">
      <w:start w:val="1"/>
      <w:numFmt w:val="upperLetter"/>
      <w:lvlText w:val="%1."/>
      <w:lvlJc w:val="left"/>
      <w:pPr>
        <w:ind w:left="647" w:hanging="548"/>
      </w:pPr>
      <w:rPr>
        <w:rFonts w:ascii="Trebuchet MS" w:eastAsia="Trebuchet MS" w:hAnsi="Trebuchet MS" w:hint="default"/>
        <w:b/>
        <w:bCs/>
        <w:spacing w:val="-1"/>
        <w:w w:val="99"/>
        <w:sz w:val="26"/>
        <w:szCs w:val="26"/>
      </w:rPr>
    </w:lvl>
    <w:lvl w:ilvl="1" w:tplc="F5CA0B54">
      <w:start w:val="1"/>
      <w:numFmt w:val="decimal"/>
      <w:lvlText w:val="%2."/>
      <w:lvlJc w:val="left"/>
      <w:pPr>
        <w:ind w:left="1180" w:hanging="533"/>
        <w:jc w:val="right"/>
      </w:pPr>
      <w:rPr>
        <w:rFonts w:ascii="Trebuchet MS" w:eastAsia="Trebuchet MS" w:hAnsi="Trebuchet MS" w:hint="default"/>
        <w:spacing w:val="-1"/>
        <w:sz w:val="22"/>
        <w:szCs w:val="22"/>
      </w:rPr>
    </w:lvl>
    <w:lvl w:ilvl="2" w:tplc="D2B4CE48">
      <w:start w:val="1"/>
      <w:numFmt w:val="bullet"/>
      <w:lvlText w:val="•"/>
      <w:lvlJc w:val="left"/>
      <w:pPr>
        <w:ind w:left="2113" w:hanging="533"/>
      </w:pPr>
      <w:rPr>
        <w:rFonts w:hint="default"/>
      </w:rPr>
    </w:lvl>
    <w:lvl w:ilvl="3" w:tplc="479EE502">
      <w:start w:val="1"/>
      <w:numFmt w:val="bullet"/>
      <w:lvlText w:val="•"/>
      <w:lvlJc w:val="left"/>
      <w:pPr>
        <w:ind w:left="3046" w:hanging="533"/>
      </w:pPr>
      <w:rPr>
        <w:rFonts w:hint="default"/>
      </w:rPr>
    </w:lvl>
    <w:lvl w:ilvl="4" w:tplc="0F78EA44">
      <w:start w:val="1"/>
      <w:numFmt w:val="bullet"/>
      <w:lvlText w:val="•"/>
      <w:lvlJc w:val="left"/>
      <w:pPr>
        <w:ind w:left="3980" w:hanging="533"/>
      </w:pPr>
      <w:rPr>
        <w:rFonts w:hint="default"/>
      </w:rPr>
    </w:lvl>
    <w:lvl w:ilvl="5" w:tplc="F87C6124">
      <w:start w:val="1"/>
      <w:numFmt w:val="bullet"/>
      <w:lvlText w:val="•"/>
      <w:lvlJc w:val="left"/>
      <w:pPr>
        <w:ind w:left="4913" w:hanging="533"/>
      </w:pPr>
      <w:rPr>
        <w:rFonts w:hint="default"/>
      </w:rPr>
    </w:lvl>
    <w:lvl w:ilvl="6" w:tplc="1B341B18">
      <w:start w:val="1"/>
      <w:numFmt w:val="bullet"/>
      <w:lvlText w:val="•"/>
      <w:lvlJc w:val="left"/>
      <w:pPr>
        <w:ind w:left="5846" w:hanging="533"/>
      </w:pPr>
      <w:rPr>
        <w:rFonts w:hint="default"/>
      </w:rPr>
    </w:lvl>
    <w:lvl w:ilvl="7" w:tplc="A6385FCE">
      <w:start w:val="1"/>
      <w:numFmt w:val="bullet"/>
      <w:lvlText w:val="•"/>
      <w:lvlJc w:val="left"/>
      <w:pPr>
        <w:ind w:left="6780" w:hanging="533"/>
      </w:pPr>
      <w:rPr>
        <w:rFonts w:hint="default"/>
      </w:rPr>
    </w:lvl>
    <w:lvl w:ilvl="8" w:tplc="D026E86E">
      <w:start w:val="1"/>
      <w:numFmt w:val="bullet"/>
      <w:lvlText w:val="•"/>
      <w:lvlJc w:val="left"/>
      <w:pPr>
        <w:ind w:left="7713" w:hanging="533"/>
      </w:pPr>
      <w:rPr>
        <w:rFonts w:hint="default"/>
      </w:rPr>
    </w:lvl>
  </w:abstractNum>
  <w:abstractNum w:abstractNumId="32" w15:restartNumberingAfterBreak="0">
    <w:nsid w:val="6BD341B0"/>
    <w:multiLevelType w:val="hybridMultilevel"/>
    <w:tmpl w:val="7CB0E9F8"/>
    <w:lvl w:ilvl="0" w:tplc="5FAEECBC">
      <w:start w:val="1"/>
      <w:numFmt w:val="decimal"/>
      <w:lvlText w:val="4.%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72844"/>
    <w:multiLevelType w:val="hybridMultilevel"/>
    <w:tmpl w:val="EFC0206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6C7A4A5A"/>
    <w:multiLevelType w:val="hybridMultilevel"/>
    <w:tmpl w:val="769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F404D"/>
    <w:multiLevelType w:val="hybridMultilevel"/>
    <w:tmpl w:val="9F6C74EC"/>
    <w:lvl w:ilvl="0" w:tplc="C3D075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906BA"/>
    <w:multiLevelType w:val="hybridMultilevel"/>
    <w:tmpl w:val="673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A2067"/>
    <w:multiLevelType w:val="hybridMultilevel"/>
    <w:tmpl w:val="6E484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80DF9"/>
    <w:multiLevelType w:val="hybridMultilevel"/>
    <w:tmpl w:val="FC1EC8FC"/>
    <w:lvl w:ilvl="0" w:tplc="D93EC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A369F"/>
    <w:multiLevelType w:val="hybridMultilevel"/>
    <w:tmpl w:val="7B4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777B7"/>
    <w:multiLevelType w:val="hybridMultilevel"/>
    <w:tmpl w:val="820C92EE"/>
    <w:lvl w:ilvl="0" w:tplc="47981B16">
      <w:numFmt w:val="bullet"/>
      <w:lvlText w:val="•"/>
      <w:lvlJc w:val="left"/>
      <w:pPr>
        <w:ind w:left="8370" w:hanging="360"/>
      </w:pPr>
      <w:rPr>
        <w:rFonts w:ascii="Calibri" w:eastAsiaTheme="minorHAnsi" w:hAnsi="Calibri" w:cs="Calibri"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2C1115"/>
    <w:multiLevelType w:val="hybridMultilevel"/>
    <w:tmpl w:val="58BA6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02DCB"/>
    <w:multiLevelType w:val="hybridMultilevel"/>
    <w:tmpl w:val="3B3617AE"/>
    <w:lvl w:ilvl="0" w:tplc="D3E80D12">
      <w:start w:val="1"/>
      <w:numFmt w:val="upperLetter"/>
      <w:pStyle w:val="Heading1"/>
      <w:lvlText w:val="%1."/>
      <w:lvlJc w:val="left"/>
      <w:pPr>
        <w:ind w:left="360" w:hanging="360"/>
      </w:pPr>
      <w:rPr>
        <w:rFonts w:hint="default"/>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21"/>
  </w:num>
  <w:num w:numId="3">
    <w:abstractNumId w:val="12"/>
  </w:num>
  <w:num w:numId="4">
    <w:abstractNumId w:val="30"/>
  </w:num>
  <w:num w:numId="5">
    <w:abstractNumId w:val="15"/>
  </w:num>
  <w:num w:numId="6">
    <w:abstractNumId w:val="13"/>
  </w:num>
  <w:num w:numId="7">
    <w:abstractNumId w:val="27"/>
  </w:num>
  <w:num w:numId="8">
    <w:abstractNumId w:val="25"/>
  </w:num>
  <w:num w:numId="9">
    <w:abstractNumId w:val="20"/>
  </w:num>
  <w:num w:numId="10">
    <w:abstractNumId w:val="31"/>
  </w:num>
  <w:num w:numId="11">
    <w:abstractNumId w:val="5"/>
  </w:num>
  <w:num w:numId="12">
    <w:abstractNumId w:val="10"/>
  </w:num>
  <w:num w:numId="13">
    <w:abstractNumId w:val="14"/>
  </w:num>
  <w:num w:numId="14">
    <w:abstractNumId w:val="37"/>
  </w:num>
  <w:num w:numId="15">
    <w:abstractNumId w:val="28"/>
  </w:num>
  <w:num w:numId="16">
    <w:abstractNumId w:val="26"/>
  </w:num>
  <w:num w:numId="17">
    <w:abstractNumId w:val="2"/>
  </w:num>
  <w:num w:numId="18">
    <w:abstractNumId w:val="33"/>
  </w:num>
  <w:num w:numId="19">
    <w:abstractNumId w:val="23"/>
  </w:num>
  <w:num w:numId="20">
    <w:abstractNumId w:val="35"/>
  </w:num>
  <w:num w:numId="21">
    <w:abstractNumId w:val="22"/>
  </w:num>
  <w:num w:numId="22">
    <w:abstractNumId w:val="11"/>
  </w:num>
  <w:num w:numId="23">
    <w:abstractNumId w:val="32"/>
  </w:num>
  <w:num w:numId="24">
    <w:abstractNumId w:val="18"/>
  </w:num>
  <w:num w:numId="25">
    <w:abstractNumId w:val="19"/>
  </w:num>
  <w:num w:numId="26">
    <w:abstractNumId w:val="16"/>
  </w:num>
  <w:num w:numId="27">
    <w:abstractNumId w:val="24"/>
  </w:num>
  <w:num w:numId="28">
    <w:abstractNumId w:val="40"/>
  </w:num>
  <w:num w:numId="29">
    <w:abstractNumId w:val="29"/>
  </w:num>
  <w:num w:numId="30">
    <w:abstractNumId w:val="1"/>
  </w:num>
  <w:num w:numId="31">
    <w:abstractNumId w:val="39"/>
  </w:num>
  <w:num w:numId="32">
    <w:abstractNumId w:val="6"/>
  </w:num>
  <w:num w:numId="33">
    <w:abstractNumId w:val="36"/>
  </w:num>
  <w:num w:numId="34">
    <w:abstractNumId w:val="9"/>
  </w:num>
  <w:num w:numId="35">
    <w:abstractNumId w:val="4"/>
  </w:num>
  <w:num w:numId="36">
    <w:abstractNumId w:val="3"/>
  </w:num>
  <w:num w:numId="37">
    <w:abstractNumId w:val="38"/>
  </w:num>
  <w:num w:numId="38">
    <w:abstractNumId w:val="8"/>
  </w:num>
  <w:num w:numId="39">
    <w:abstractNumId w:val="0"/>
  </w:num>
  <w:num w:numId="40">
    <w:abstractNumId w:val="17"/>
  </w:num>
  <w:num w:numId="41">
    <w:abstractNumId w:val="41"/>
  </w:num>
  <w:num w:numId="42">
    <w:abstractNumId w:val="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45"/>
    <w:rsid w:val="00004D59"/>
    <w:rsid w:val="00006570"/>
    <w:rsid w:val="00007DFE"/>
    <w:rsid w:val="00011B23"/>
    <w:rsid w:val="00013BAD"/>
    <w:rsid w:val="00020956"/>
    <w:rsid w:val="00021D41"/>
    <w:rsid w:val="00031BA2"/>
    <w:rsid w:val="00034845"/>
    <w:rsid w:val="00037543"/>
    <w:rsid w:val="000449FF"/>
    <w:rsid w:val="00047617"/>
    <w:rsid w:val="00047E0E"/>
    <w:rsid w:val="00056BC6"/>
    <w:rsid w:val="0006272C"/>
    <w:rsid w:val="00065ACF"/>
    <w:rsid w:val="00071CA6"/>
    <w:rsid w:val="000735B2"/>
    <w:rsid w:val="00074D49"/>
    <w:rsid w:val="00083182"/>
    <w:rsid w:val="0008725B"/>
    <w:rsid w:val="000934DA"/>
    <w:rsid w:val="00094658"/>
    <w:rsid w:val="00095069"/>
    <w:rsid w:val="0009610F"/>
    <w:rsid w:val="00096DC9"/>
    <w:rsid w:val="000A14D4"/>
    <w:rsid w:val="000A322A"/>
    <w:rsid w:val="000A57A0"/>
    <w:rsid w:val="000B0B14"/>
    <w:rsid w:val="000B1B16"/>
    <w:rsid w:val="000B2E32"/>
    <w:rsid w:val="000B7A54"/>
    <w:rsid w:val="000C5CD5"/>
    <w:rsid w:val="000C7952"/>
    <w:rsid w:val="000D2CDF"/>
    <w:rsid w:val="000E044B"/>
    <w:rsid w:val="000E1265"/>
    <w:rsid w:val="000E217E"/>
    <w:rsid w:val="000E22A6"/>
    <w:rsid w:val="000E470D"/>
    <w:rsid w:val="000E6F6B"/>
    <w:rsid w:val="000F5D57"/>
    <w:rsid w:val="000F6675"/>
    <w:rsid w:val="00100F37"/>
    <w:rsid w:val="00101013"/>
    <w:rsid w:val="0010497B"/>
    <w:rsid w:val="00106A2C"/>
    <w:rsid w:val="00111BF8"/>
    <w:rsid w:val="00113F3C"/>
    <w:rsid w:val="001140E8"/>
    <w:rsid w:val="0011634E"/>
    <w:rsid w:val="0012288B"/>
    <w:rsid w:val="00124181"/>
    <w:rsid w:val="00126698"/>
    <w:rsid w:val="0013184A"/>
    <w:rsid w:val="00134A2D"/>
    <w:rsid w:val="00134FB4"/>
    <w:rsid w:val="0013512B"/>
    <w:rsid w:val="00136846"/>
    <w:rsid w:val="001369B2"/>
    <w:rsid w:val="00142A83"/>
    <w:rsid w:val="001474AD"/>
    <w:rsid w:val="0015221F"/>
    <w:rsid w:val="001526C9"/>
    <w:rsid w:val="00162D97"/>
    <w:rsid w:val="00165138"/>
    <w:rsid w:val="00180D83"/>
    <w:rsid w:val="0018171C"/>
    <w:rsid w:val="001820F8"/>
    <w:rsid w:val="001870C9"/>
    <w:rsid w:val="001872C4"/>
    <w:rsid w:val="00190B1B"/>
    <w:rsid w:val="00192276"/>
    <w:rsid w:val="0019513A"/>
    <w:rsid w:val="00195935"/>
    <w:rsid w:val="001A0EC2"/>
    <w:rsid w:val="001A5074"/>
    <w:rsid w:val="001A5E5A"/>
    <w:rsid w:val="001A6E4A"/>
    <w:rsid w:val="001B21E1"/>
    <w:rsid w:val="001B4A52"/>
    <w:rsid w:val="001B4B20"/>
    <w:rsid w:val="001B5721"/>
    <w:rsid w:val="001C08F5"/>
    <w:rsid w:val="001C3F6C"/>
    <w:rsid w:val="001C45EA"/>
    <w:rsid w:val="001C52B7"/>
    <w:rsid w:val="001D0970"/>
    <w:rsid w:val="001D397C"/>
    <w:rsid w:val="001D3AB8"/>
    <w:rsid w:val="001D4164"/>
    <w:rsid w:val="001D4C8D"/>
    <w:rsid w:val="001D5059"/>
    <w:rsid w:val="001D7058"/>
    <w:rsid w:val="001E2C4A"/>
    <w:rsid w:val="001E3BB0"/>
    <w:rsid w:val="001F3BB8"/>
    <w:rsid w:val="001F5678"/>
    <w:rsid w:val="001F73E6"/>
    <w:rsid w:val="0020447D"/>
    <w:rsid w:val="002045F3"/>
    <w:rsid w:val="00205F60"/>
    <w:rsid w:val="00207C0E"/>
    <w:rsid w:val="0020F1D0"/>
    <w:rsid w:val="00210DE9"/>
    <w:rsid w:val="00211A5E"/>
    <w:rsid w:val="00215061"/>
    <w:rsid w:val="00216335"/>
    <w:rsid w:val="00216EDF"/>
    <w:rsid w:val="00217739"/>
    <w:rsid w:val="00223A1F"/>
    <w:rsid w:val="0022546E"/>
    <w:rsid w:val="002259F1"/>
    <w:rsid w:val="00225A3A"/>
    <w:rsid w:val="0023192B"/>
    <w:rsid w:val="00232B8C"/>
    <w:rsid w:val="00241350"/>
    <w:rsid w:val="00242958"/>
    <w:rsid w:val="00247BF0"/>
    <w:rsid w:val="00250356"/>
    <w:rsid w:val="0025153B"/>
    <w:rsid w:val="00253D1A"/>
    <w:rsid w:val="0026457D"/>
    <w:rsid w:val="00266411"/>
    <w:rsid w:val="00266D5C"/>
    <w:rsid w:val="00271364"/>
    <w:rsid w:val="0028264C"/>
    <w:rsid w:val="00284DB0"/>
    <w:rsid w:val="00285632"/>
    <w:rsid w:val="00285876"/>
    <w:rsid w:val="002863DD"/>
    <w:rsid w:val="002916D3"/>
    <w:rsid w:val="0029317E"/>
    <w:rsid w:val="002945FC"/>
    <w:rsid w:val="0029712A"/>
    <w:rsid w:val="00297B73"/>
    <w:rsid w:val="002A219E"/>
    <w:rsid w:val="002A417C"/>
    <w:rsid w:val="002A51D2"/>
    <w:rsid w:val="002B1FE3"/>
    <w:rsid w:val="002B23F1"/>
    <w:rsid w:val="002B29CA"/>
    <w:rsid w:val="002B3644"/>
    <w:rsid w:val="002B638D"/>
    <w:rsid w:val="002B6C90"/>
    <w:rsid w:val="002B6EB1"/>
    <w:rsid w:val="002C067A"/>
    <w:rsid w:val="002C29C1"/>
    <w:rsid w:val="002C55F9"/>
    <w:rsid w:val="002C61BB"/>
    <w:rsid w:val="002D0184"/>
    <w:rsid w:val="002D1C11"/>
    <w:rsid w:val="002D2234"/>
    <w:rsid w:val="002D3EDB"/>
    <w:rsid w:val="002D5967"/>
    <w:rsid w:val="002E109A"/>
    <w:rsid w:val="002E1685"/>
    <w:rsid w:val="002E1742"/>
    <w:rsid w:val="002E76DC"/>
    <w:rsid w:val="002F39D8"/>
    <w:rsid w:val="002F7D9D"/>
    <w:rsid w:val="00300A99"/>
    <w:rsid w:val="00300AC0"/>
    <w:rsid w:val="00301568"/>
    <w:rsid w:val="003030A5"/>
    <w:rsid w:val="003179F0"/>
    <w:rsid w:val="00320C8E"/>
    <w:rsid w:val="003220BB"/>
    <w:rsid w:val="0032586F"/>
    <w:rsid w:val="00332A91"/>
    <w:rsid w:val="00336812"/>
    <w:rsid w:val="00336B04"/>
    <w:rsid w:val="0034166F"/>
    <w:rsid w:val="00342A6A"/>
    <w:rsid w:val="0034503D"/>
    <w:rsid w:val="003476D1"/>
    <w:rsid w:val="00347F50"/>
    <w:rsid w:val="003502E1"/>
    <w:rsid w:val="0035058D"/>
    <w:rsid w:val="003507C7"/>
    <w:rsid w:val="003508F0"/>
    <w:rsid w:val="00350E8E"/>
    <w:rsid w:val="00351A67"/>
    <w:rsid w:val="00352C44"/>
    <w:rsid w:val="00354484"/>
    <w:rsid w:val="0035517A"/>
    <w:rsid w:val="00360684"/>
    <w:rsid w:val="00360EE8"/>
    <w:rsid w:val="00361B38"/>
    <w:rsid w:val="003620F6"/>
    <w:rsid w:val="003633DE"/>
    <w:rsid w:val="003645E3"/>
    <w:rsid w:val="00366A69"/>
    <w:rsid w:val="00372A25"/>
    <w:rsid w:val="00376432"/>
    <w:rsid w:val="00376860"/>
    <w:rsid w:val="003804AE"/>
    <w:rsid w:val="00382038"/>
    <w:rsid w:val="0038351B"/>
    <w:rsid w:val="003861BC"/>
    <w:rsid w:val="0038790E"/>
    <w:rsid w:val="00387DF0"/>
    <w:rsid w:val="00387EC3"/>
    <w:rsid w:val="003921F4"/>
    <w:rsid w:val="00392D45"/>
    <w:rsid w:val="00396822"/>
    <w:rsid w:val="003A3E03"/>
    <w:rsid w:val="003A508F"/>
    <w:rsid w:val="003A5E73"/>
    <w:rsid w:val="003A6963"/>
    <w:rsid w:val="003C6053"/>
    <w:rsid w:val="003D2DEA"/>
    <w:rsid w:val="003D3480"/>
    <w:rsid w:val="003D4C72"/>
    <w:rsid w:val="003D7AB8"/>
    <w:rsid w:val="003E219B"/>
    <w:rsid w:val="003E6AB4"/>
    <w:rsid w:val="003F4F57"/>
    <w:rsid w:val="003F53A7"/>
    <w:rsid w:val="003F7FF1"/>
    <w:rsid w:val="00403F0D"/>
    <w:rsid w:val="00405754"/>
    <w:rsid w:val="00407523"/>
    <w:rsid w:val="00412DAC"/>
    <w:rsid w:val="004143E7"/>
    <w:rsid w:val="00420E5D"/>
    <w:rsid w:val="00424644"/>
    <w:rsid w:val="004253C0"/>
    <w:rsid w:val="00437B01"/>
    <w:rsid w:val="00447353"/>
    <w:rsid w:val="00454C65"/>
    <w:rsid w:val="00457F5B"/>
    <w:rsid w:val="00462449"/>
    <w:rsid w:val="00465989"/>
    <w:rsid w:val="00466120"/>
    <w:rsid w:val="0047077A"/>
    <w:rsid w:val="00474E40"/>
    <w:rsid w:val="00485975"/>
    <w:rsid w:val="00485A39"/>
    <w:rsid w:val="00486F5A"/>
    <w:rsid w:val="004908C0"/>
    <w:rsid w:val="004913CF"/>
    <w:rsid w:val="00491BD3"/>
    <w:rsid w:val="00491C98"/>
    <w:rsid w:val="004A2723"/>
    <w:rsid w:val="004A4B76"/>
    <w:rsid w:val="004A6F1A"/>
    <w:rsid w:val="004B4DDD"/>
    <w:rsid w:val="004C626F"/>
    <w:rsid w:val="004D27AE"/>
    <w:rsid w:val="004D3EFB"/>
    <w:rsid w:val="004D49FF"/>
    <w:rsid w:val="004E0C24"/>
    <w:rsid w:val="004E229C"/>
    <w:rsid w:val="004E2D1A"/>
    <w:rsid w:val="004E2E3F"/>
    <w:rsid w:val="004E7944"/>
    <w:rsid w:val="004E79FB"/>
    <w:rsid w:val="004F3589"/>
    <w:rsid w:val="004F53E8"/>
    <w:rsid w:val="004F5A3F"/>
    <w:rsid w:val="0050296B"/>
    <w:rsid w:val="0050682B"/>
    <w:rsid w:val="005079CB"/>
    <w:rsid w:val="005103A3"/>
    <w:rsid w:val="00511488"/>
    <w:rsid w:val="00511E10"/>
    <w:rsid w:val="005133B0"/>
    <w:rsid w:val="00513A02"/>
    <w:rsid w:val="00513B3F"/>
    <w:rsid w:val="005143BD"/>
    <w:rsid w:val="00514FB2"/>
    <w:rsid w:val="00517188"/>
    <w:rsid w:val="005204D7"/>
    <w:rsid w:val="00522DF5"/>
    <w:rsid w:val="00523EC9"/>
    <w:rsid w:val="0052424E"/>
    <w:rsid w:val="00524811"/>
    <w:rsid w:val="005269EA"/>
    <w:rsid w:val="00527699"/>
    <w:rsid w:val="00527EB7"/>
    <w:rsid w:val="00530C9A"/>
    <w:rsid w:val="005310EE"/>
    <w:rsid w:val="005320BF"/>
    <w:rsid w:val="00532F11"/>
    <w:rsid w:val="005336BA"/>
    <w:rsid w:val="00535C69"/>
    <w:rsid w:val="005404C4"/>
    <w:rsid w:val="00542A67"/>
    <w:rsid w:val="00547335"/>
    <w:rsid w:val="0055112B"/>
    <w:rsid w:val="00551D6E"/>
    <w:rsid w:val="00552464"/>
    <w:rsid w:val="005615F4"/>
    <w:rsid w:val="00561E49"/>
    <w:rsid w:val="00564821"/>
    <w:rsid w:val="005667F6"/>
    <w:rsid w:val="0058144A"/>
    <w:rsid w:val="00581BDC"/>
    <w:rsid w:val="00585449"/>
    <w:rsid w:val="00586D1C"/>
    <w:rsid w:val="0059477F"/>
    <w:rsid w:val="005A488F"/>
    <w:rsid w:val="005B24FD"/>
    <w:rsid w:val="005B3EF6"/>
    <w:rsid w:val="005B58F0"/>
    <w:rsid w:val="005C5F29"/>
    <w:rsid w:val="005D142E"/>
    <w:rsid w:val="005D242C"/>
    <w:rsid w:val="005D4D65"/>
    <w:rsid w:val="005D513E"/>
    <w:rsid w:val="005D7D93"/>
    <w:rsid w:val="005E48AD"/>
    <w:rsid w:val="005E4DAB"/>
    <w:rsid w:val="005E5C10"/>
    <w:rsid w:val="005F3951"/>
    <w:rsid w:val="005F3D11"/>
    <w:rsid w:val="005F3E5F"/>
    <w:rsid w:val="005F4973"/>
    <w:rsid w:val="005F72D7"/>
    <w:rsid w:val="006029D1"/>
    <w:rsid w:val="00603CEF"/>
    <w:rsid w:val="00603E03"/>
    <w:rsid w:val="006056C2"/>
    <w:rsid w:val="006068FF"/>
    <w:rsid w:val="00610DE9"/>
    <w:rsid w:val="006130E4"/>
    <w:rsid w:val="00617A43"/>
    <w:rsid w:val="00617F9D"/>
    <w:rsid w:val="00621AAA"/>
    <w:rsid w:val="0062438A"/>
    <w:rsid w:val="00624747"/>
    <w:rsid w:val="00626B1F"/>
    <w:rsid w:val="00634D75"/>
    <w:rsid w:val="0063619E"/>
    <w:rsid w:val="00641663"/>
    <w:rsid w:val="0064783E"/>
    <w:rsid w:val="0065116C"/>
    <w:rsid w:val="0065383D"/>
    <w:rsid w:val="00653A0C"/>
    <w:rsid w:val="006560E5"/>
    <w:rsid w:val="00661AD5"/>
    <w:rsid w:val="00664953"/>
    <w:rsid w:val="00664E6D"/>
    <w:rsid w:val="006700EF"/>
    <w:rsid w:val="006717FA"/>
    <w:rsid w:val="006718A1"/>
    <w:rsid w:val="00673315"/>
    <w:rsid w:val="00673C53"/>
    <w:rsid w:val="00676398"/>
    <w:rsid w:val="00680A21"/>
    <w:rsid w:val="00683A26"/>
    <w:rsid w:val="00692650"/>
    <w:rsid w:val="00694B53"/>
    <w:rsid w:val="00696B57"/>
    <w:rsid w:val="006A271C"/>
    <w:rsid w:val="006B0A00"/>
    <w:rsid w:val="006B53A7"/>
    <w:rsid w:val="006B682C"/>
    <w:rsid w:val="006B6D28"/>
    <w:rsid w:val="006C2631"/>
    <w:rsid w:val="006C29D5"/>
    <w:rsid w:val="006C4286"/>
    <w:rsid w:val="006C6B8C"/>
    <w:rsid w:val="006D4136"/>
    <w:rsid w:val="006D6B1D"/>
    <w:rsid w:val="006E2FEA"/>
    <w:rsid w:val="006E3B6B"/>
    <w:rsid w:val="006E3E56"/>
    <w:rsid w:val="006E5531"/>
    <w:rsid w:val="006E73DC"/>
    <w:rsid w:val="006F6386"/>
    <w:rsid w:val="007001DF"/>
    <w:rsid w:val="007014C4"/>
    <w:rsid w:val="007025F3"/>
    <w:rsid w:val="00705DA9"/>
    <w:rsid w:val="00706DE0"/>
    <w:rsid w:val="00706E3A"/>
    <w:rsid w:val="0071334A"/>
    <w:rsid w:val="00717934"/>
    <w:rsid w:val="00717BD8"/>
    <w:rsid w:val="00717D74"/>
    <w:rsid w:val="00720D3C"/>
    <w:rsid w:val="007261B2"/>
    <w:rsid w:val="00726CB2"/>
    <w:rsid w:val="00726FFB"/>
    <w:rsid w:val="00732BCD"/>
    <w:rsid w:val="0073613D"/>
    <w:rsid w:val="00740CF0"/>
    <w:rsid w:val="00740E10"/>
    <w:rsid w:val="00741B05"/>
    <w:rsid w:val="007523B0"/>
    <w:rsid w:val="00752EE2"/>
    <w:rsid w:val="00756266"/>
    <w:rsid w:val="00756375"/>
    <w:rsid w:val="007570E7"/>
    <w:rsid w:val="00757AC6"/>
    <w:rsid w:val="00757E1C"/>
    <w:rsid w:val="0076186D"/>
    <w:rsid w:val="007639A9"/>
    <w:rsid w:val="0076615A"/>
    <w:rsid w:val="00770C19"/>
    <w:rsid w:val="00773E92"/>
    <w:rsid w:val="00777849"/>
    <w:rsid w:val="00780A8B"/>
    <w:rsid w:val="007865A3"/>
    <w:rsid w:val="00786750"/>
    <w:rsid w:val="00786BB1"/>
    <w:rsid w:val="007907CF"/>
    <w:rsid w:val="007929DB"/>
    <w:rsid w:val="007A3BBE"/>
    <w:rsid w:val="007A4E62"/>
    <w:rsid w:val="007A5AA1"/>
    <w:rsid w:val="007A6E09"/>
    <w:rsid w:val="007B0580"/>
    <w:rsid w:val="007C2220"/>
    <w:rsid w:val="007C24BB"/>
    <w:rsid w:val="007C5C85"/>
    <w:rsid w:val="007C7FD7"/>
    <w:rsid w:val="007D007B"/>
    <w:rsid w:val="007D064B"/>
    <w:rsid w:val="007D06E5"/>
    <w:rsid w:val="007D1AD8"/>
    <w:rsid w:val="007D2920"/>
    <w:rsid w:val="007D2A2F"/>
    <w:rsid w:val="007D2C0D"/>
    <w:rsid w:val="007D4570"/>
    <w:rsid w:val="007D48D5"/>
    <w:rsid w:val="007D73F3"/>
    <w:rsid w:val="007E4D44"/>
    <w:rsid w:val="007F0A54"/>
    <w:rsid w:val="00804E1B"/>
    <w:rsid w:val="008109ED"/>
    <w:rsid w:val="00811DE1"/>
    <w:rsid w:val="008144C9"/>
    <w:rsid w:val="0081467E"/>
    <w:rsid w:val="008178FF"/>
    <w:rsid w:val="0082127D"/>
    <w:rsid w:val="00823400"/>
    <w:rsid w:val="008238F2"/>
    <w:rsid w:val="00826D22"/>
    <w:rsid w:val="00827E2F"/>
    <w:rsid w:val="008305A8"/>
    <w:rsid w:val="00830EB9"/>
    <w:rsid w:val="00833309"/>
    <w:rsid w:val="00836998"/>
    <w:rsid w:val="00840718"/>
    <w:rsid w:val="008409BB"/>
    <w:rsid w:val="0084442B"/>
    <w:rsid w:val="008671CD"/>
    <w:rsid w:val="00870C7F"/>
    <w:rsid w:val="008757D5"/>
    <w:rsid w:val="00875F0F"/>
    <w:rsid w:val="00881153"/>
    <w:rsid w:val="008831E5"/>
    <w:rsid w:val="00884241"/>
    <w:rsid w:val="008848AF"/>
    <w:rsid w:val="00896A51"/>
    <w:rsid w:val="00896FBE"/>
    <w:rsid w:val="008A28CA"/>
    <w:rsid w:val="008A3B54"/>
    <w:rsid w:val="008A50A9"/>
    <w:rsid w:val="008A55CA"/>
    <w:rsid w:val="008A68C9"/>
    <w:rsid w:val="008B1F37"/>
    <w:rsid w:val="008B2DC2"/>
    <w:rsid w:val="008B5B98"/>
    <w:rsid w:val="008C3FBA"/>
    <w:rsid w:val="008C5043"/>
    <w:rsid w:val="008C70CF"/>
    <w:rsid w:val="008D0E1B"/>
    <w:rsid w:val="008D1D52"/>
    <w:rsid w:val="008D7C90"/>
    <w:rsid w:val="008E0356"/>
    <w:rsid w:val="008E0F76"/>
    <w:rsid w:val="008E1748"/>
    <w:rsid w:val="008E328A"/>
    <w:rsid w:val="008E503A"/>
    <w:rsid w:val="008F4B68"/>
    <w:rsid w:val="00900ADA"/>
    <w:rsid w:val="0090113C"/>
    <w:rsid w:val="0090415A"/>
    <w:rsid w:val="009074C4"/>
    <w:rsid w:val="009124E8"/>
    <w:rsid w:val="00916FC8"/>
    <w:rsid w:val="0092282C"/>
    <w:rsid w:val="00924974"/>
    <w:rsid w:val="00930F52"/>
    <w:rsid w:val="00931588"/>
    <w:rsid w:val="00933E76"/>
    <w:rsid w:val="00935F2C"/>
    <w:rsid w:val="00936DE3"/>
    <w:rsid w:val="00940531"/>
    <w:rsid w:val="00942E97"/>
    <w:rsid w:val="00943BD4"/>
    <w:rsid w:val="00945020"/>
    <w:rsid w:val="00945ECB"/>
    <w:rsid w:val="00946364"/>
    <w:rsid w:val="00946B93"/>
    <w:rsid w:val="00950C86"/>
    <w:rsid w:val="00950CE4"/>
    <w:rsid w:val="00953843"/>
    <w:rsid w:val="00955EC7"/>
    <w:rsid w:val="00961B32"/>
    <w:rsid w:val="00961D56"/>
    <w:rsid w:val="009665E0"/>
    <w:rsid w:val="0096684B"/>
    <w:rsid w:val="00970555"/>
    <w:rsid w:val="00972F6A"/>
    <w:rsid w:val="00973780"/>
    <w:rsid w:val="00974756"/>
    <w:rsid w:val="00980C13"/>
    <w:rsid w:val="00982846"/>
    <w:rsid w:val="009847C6"/>
    <w:rsid w:val="00984CA2"/>
    <w:rsid w:val="00992B24"/>
    <w:rsid w:val="00994B49"/>
    <w:rsid w:val="009A2AFB"/>
    <w:rsid w:val="009A6BA6"/>
    <w:rsid w:val="009B0EF1"/>
    <w:rsid w:val="009B1D16"/>
    <w:rsid w:val="009B6AB1"/>
    <w:rsid w:val="009B7A5A"/>
    <w:rsid w:val="009C1DE0"/>
    <w:rsid w:val="009C2509"/>
    <w:rsid w:val="009C2D12"/>
    <w:rsid w:val="009C3C6E"/>
    <w:rsid w:val="009C453E"/>
    <w:rsid w:val="009C69DF"/>
    <w:rsid w:val="009C7901"/>
    <w:rsid w:val="009D4915"/>
    <w:rsid w:val="009D7542"/>
    <w:rsid w:val="009D7EE8"/>
    <w:rsid w:val="009E30C4"/>
    <w:rsid w:val="009E5C6F"/>
    <w:rsid w:val="009E6188"/>
    <w:rsid w:val="009E7FA6"/>
    <w:rsid w:val="009F297C"/>
    <w:rsid w:val="009F37F8"/>
    <w:rsid w:val="00A01794"/>
    <w:rsid w:val="00A06B09"/>
    <w:rsid w:val="00A07434"/>
    <w:rsid w:val="00A163A5"/>
    <w:rsid w:val="00A22959"/>
    <w:rsid w:val="00A22C94"/>
    <w:rsid w:val="00A3069B"/>
    <w:rsid w:val="00A318A3"/>
    <w:rsid w:val="00A339FF"/>
    <w:rsid w:val="00A3479B"/>
    <w:rsid w:val="00A37305"/>
    <w:rsid w:val="00A423CC"/>
    <w:rsid w:val="00A42EB7"/>
    <w:rsid w:val="00A451B0"/>
    <w:rsid w:val="00A53E29"/>
    <w:rsid w:val="00A55A25"/>
    <w:rsid w:val="00A56904"/>
    <w:rsid w:val="00A60B20"/>
    <w:rsid w:val="00A613D1"/>
    <w:rsid w:val="00A61B95"/>
    <w:rsid w:val="00A6386C"/>
    <w:rsid w:val="00A702E6"/>
    <w:rsid w:val="00A7034B"/>
    <w:rsid w:val="00A74ED1"/>
    <w:rsid w:val="00A824E2"/>
    <w:rsid w:val="00A83077"/>
    <w:rsid w:val="00A83B18"/>
    <w:rsid w:val="00A861C2"/>
    <w:rsid w:val="00A91EE7"/>
    <w:rsid w:val="00A93ECA"/>
    <w:rsid w:val="00A947A1"/>
    <w:rsid w:val="00A964A5"/>
    <w:rsid w:val="00A96861"/>
    <w:rsid w:val="00A96A6D"/>
    <w:rsid w:val="00A96EED"/>
    <w:rsid w:val="00AA5CF6"/>
    <w:rsid w:val="00AA73E4"/>
    <w:rsid w:val="00AA767E"/>
    <w:rsid w:val="00AB1766"/>
    <w:rsid w:val="00AC1ABF"/>
    <w:rsid w:val="00AC70E5"/>
    <w:rsid w:val="00AC7EBA"/>
    <w:rsid w:val="00AD7EEF"/>
    <w:rsid w:val="00AE4524"/>
    <w:rsid w:val="00AF02D6"/>
    <w:rsid w:val="00AF500E"/>
    <w:rsid w:val="00AF7B89"/>
    <w:rsid w:val="00B001FD"/>
    <w:rsid w:val="00B02A4D"/>
    <w:rsid w:val="00B03033"/>
    <w:rsid w:val="00B10D04"/>
    <w:rsid w:val="00B13114"/>
    <w:rsid w:val="00B15A30"/>
    <w:rsid w:val="00B17CBA"/>
    <w:rsid w:val="00B21D63"/>
    <w:rsid w:val="00B23B25"/>
    <w:rsid w:val="00B3392D"/>
    <w:rsid w:val="00B36829"/>
    <w:rsid w:val="00B37CFE"/>
    <w:rsid w:val="00B40F5B"/>
    <w:rsid w:val="00B43421"/>
    <w:rsid w:val="00B43E7D"/>
    <w:rsid w:val="00B5352E"/>
    <w:rsid w:val="00B55132"/>
    <w:rsid w:val="00B56026"/>
    <w:rsid w:val="00B56D45"/>
    <w:rsid w:val="00B61626"/>
    <w:rsid w:val="00B619D7"/>
    <w:rsid w:val="00B63BF2"/>
    <w:rsid w:val="00B65F05"/>
    <w:rsid w:val="00B679A7"/>
    <w:rsid w:val="00B71038"/>
    <w:rsid w:val="00B715FF"/>
    <w:rsid w:val="00B72CD7"/>
    <w:rsid w:val="00B72ECD"/>
    <w:rsid w:val="00B76871"/>
    <w:rsid w:val="00B81234"/>
    <w:rsid w:val="00B812D0"/>
    <w:rsid w:val="00B84ED4"/>
    <w:rsid w:val="00B868CE"/>
    <w:rsid w:val="00B93580"/>
    <w:rsid w:val="00B96872"/>
    <w:rsid w:val="00BA04AD"/>
    <w:rsid w:val="00BA3A87"/>
    <w:rsid w:val="00BA5998"/>
    <w:rsid w:val="00BA6200"/>
    <w:rsid w:val="00BB1465"/>
    <w:rsid w:val="00BB185E"/>
    <w:rsid w:val="00BB1FE6"/>
    <w:rsid w:val="00BB7E45"/>
    <w:rsid w:val="00BC13D1"/>
    <w:rsid w:val="00BC22A1"/>
    <w:rsid w:val="00BC2B69"/>
    <w:rsid w:val="00BC310F"/>
    <w:rsid w:val="00BC4BC0"/>
    <w:rsid w:val="00BD17C9"/>
    <w:rsid w:val="00BD41DC"/>
    <w:rsid w:val="00BD6252"/>
    <w:rsid w:val="00BD6CC8"/>
    <w:rsid w:val="00BD76FC"/>
    <w:rsid w:val="00BE0F3D"/>
    <w:rsid w:val="00BE1582"/>
    <w:rsid w:val="00BE1F91"/>
    <w:rsid w:val="00BE2EAE"/>
    <w:rsid w:val="00BE3A2A"/>
    <w:rsid w:val="00BE5FCD"/>
    <w:rsid w:val="00BE7230"/>
    <w:rsid w:val="00BE7494"/>
    <w:rsid w:val="00BE7E36"/>
    <w:rsid w:val="00BF0F7D"/>
    <w:rsid w:val="00C01C2F"/>
    <w:rsid w:val="00C05A37"/>
    <w:rsid w:val="00C061E7"/>
    <w:rsid w:val="00C06DC4"/>
    <w:rsid w:val="00C12E56"/>
    <w:rsid w:val="00C167A8"/>
    <w:rsid w:val="00C16D2A"/>
    <w:rsid w:val="00C17961"/>
    <w:rsid w:val="00C20C4B"/>
    <w:rsid w:val="00C31B74"/>
    <w:rsid w:val="00C327E7"/>
    <w:rsid w:val="00C3363B"/>
    <w:rsid w:val="00C3455A"/>
    <w:rsid w:val="00C352A4"/>
    <w:rsid w:val="00C37973"/>
    <w:rsid w:val="00C40A15"/>
    <w:rsid w:val="00C4123B"/>
    <w:rsid w:val="00C4192D"/>
    <w:rsid w:val="00C43A96"/>
    <w:rsid w:val="00C51309"/>
    <w:rsid w:val="00C56CD6"/>
    <w:rsid w:val="00C65407"/>
    <w:rsid w:val="00C65D36"/>
    <w:rsid w:val="00C671F7"/>
    <w:rsid w:val="00C73BDB"/>
    <w:rsid w:val="00C73FF6"/>
    <w:rsid w:val="00C775B1"/>
    <w:rsid w:val="00C83095"/>
    <w:rsid w:val="00C87488"/>
    <w:rsid w:val="00C96B0D"/>
    <w:rsid w:val="00CA02C6"/>
    <w:rsid w:val="00CA35E9"/>
    <w:rsid w:val="00CA7F5A"/>
    <w:rsid w:val="00CB09EA"/>
    <w:rsid w:val="00CB165F"/>
    <w:rsid w:val="00CB1AA3"/>
    <w:rsid w:val="00CB1DB0"/>
    <w:rsid w:val="00CB204D"/>
    <w:rsid w:val="00CB3432"/>
    <w:rsid w:val="00CB3580"/>
    <w:rsid w:val="00CB4C7E"/>
    <w:rsid w:val="00CB5B97"/>
    <w:rsid w:val="00CB649E"/>
    <w:rsid w:val="00CC043F"/>
    <w:rsid w:val="00CC27BD"/>
    <w:rsid w:val="00CC2C54"/>
    <w:rsid w:val="00CD7F96"/>
    <w:rsid w:val="00CE315E"/>
    <w:rsid w:val="00CE321F"/>
    <w:rsid w:val="00CE41AE"/>
    <w:rsid w:val="00CE4A6F"/>
    <w:rsid w:val="00CF2FFD"/>
    <w:rsid w:val="00CF4BBB"/>
    <w:rsid w:val="00CF5211"/>
    <w:rsid w:val="00D00ADA"/>
    <w:rsid w:val="00D01D89"/>
    <w:rsid w:val="00D04935"/>
    <w:rsid w:val="00D04B0A"/>
    <w:rsid w:val="00D0757D"/>
    <w:rsid w:val="00D11A28"/>
    <w:rsid w:val="00D13700"/>
    <w:rsid w:val="00D2162D"/>
    <w:rsid w:val="00D238F6"/>
    <w:rsid w:val="00D24CA9"/>
    <w:rsid w:val="00D25B1B"/>
    <w:rsid w:val="00D26F7E"/>
    <w:rsid w:val="00D319F2"/>
    <w:rsid w:val="00D34947"/>
    <w:rsid w:val="00D36FA6"/>
    <w:rsid w:val="00D40B84"/>
    <w:rsid w:val="00D44E00"/>
    <w:rsid w:val="00D46952"/>
    <w:rsid w:val="00D47643"/>
    <w:rsid w:val="00D47C67"/>
    <w:rsid w:val="00D504AA"/>
    <w:rsid w:val="00D516AF"/>
    <w:rsid w:val="00D51929"/>
    <w:rsid w:val="00D566A7"/>
    <w:rsid w:val="00D601B4"/>
    <w:rsid w:val="00D604BA"/>
    <w:rsid w:val="00D63B6E"/>
    <w:rsid w:val="00D63CA7"/>
    <w:rsid w:val="00D6629F"/>
    <w:rsid w:val="00D7095A"/>
    <w:rsid w:val="00D71D09"/>
    <w:rsid w:val="00D72785"/>
    <w:rsid w:val="00D75186"/>
    <w:rsid w:val="00D77194"/>
    <w:rsid w:val="00D77BFD"/>
    <w:rsid w:val="00D86B1F"/>
    <w:rsid w:val="00D907A0"/>
    <w:rsid w:val="00D943B2"/>
    <w:rsid w:val="00D9514F"/>
    <w:rsid w:val="00D969D1"/>
    <w:rsid w:val="00DA0E93"/>
    <w:rsid w:val="00DA1645"/>
    <w:rsid w:val="00DA70A8"/>
    <w:rsid w:val="00DB2848"/>
    <w:rsid w:val="00DB53BE"/>
    <w:rsid w:val="00DB734D"/>
    <w:rsid w:val="00DB75C1"/>
    <w:rsid w:val="00DC00BC"/>
    <w:rsid w:val="00DC2BAF"/>
    <w:rsid w:val="00DC35C3"/>
    <w:rsid w:val="00DC4AD1"/>
    <w:rsid w:val="00DC6625"/>
    <w:rsid w:val="00DD1673"/>
    <w:rsid w:val="00DD1A84"/>
    <w:rsid w:val="00DD3ACF"/>
    <w:rsid w:val="00DD5769"/>
    <w:rsid w:val="00DD656C"/>
    <w:rsid w:val="00DE09EA"/>
    <w:rsid w:val="00DE109E"/>
    <w:rsid w:val="00DE1E0D"/>
    <w:rsid w:val="00DE2499"/>
    <w:rsid w:val="00DE3B64"/>
    <w:rsid w:val="00DE435E"/>
    <w:rsid w:val="00DE4987"/>
    <w:rsid w:val="00DE6FD7"/>
    <w:rsid w:val="00DE7EFB"/>
    <w:rsid w:val="00DF001A"/>
    <w:rsid w:val="00DF58EC"/>
    <w:rsid w:val="00E02C17"/>
    <w:rsid w:val="00E04BD0"/>
    <w:rsid w:val="00E06A02"/>
    <w:rsid w:val="00E0799C"/>
    <w:rsid w:val="00E14262"/>
    <w:rsid w:val="00E14A6C"/>
    <w:rsid w:val="00E17F5E"/>
    <w:rsid w:val="00E238B4"/>
    <w:rsid w:val="00E25AE3"/>
    <w:rsid w:val="00E2627E"/>
    <w:rsid w:val="00E26CC4"/>
    <w:rsid w:val="00E26D29"/>
    <w:rsid w:val="00E27B70"/>
    <w:rsid w:val="00E30B24"/>
    <w:rsid w:val="00E32F30"/>
    <w:rsid w:val="00E355D4"/>
    <w:rsid w:val="00E36764"/>
    <w:rsid w:val="00E45629"/>
    <w:rsid w:val="00E45FB9"/>
    <w:rsid w:val="00E50C9A"/>
    <w:rsid w:val="00E512BE"/>
    <w:rsid w:val="00E51C1C"/>
    <w:rsid w:val="00E51F1C"/>
    <w:rsid w:val="00E548ED"/>
    <w:rsid w:val="00E550EC"/>
    <w:rsid w:val="00E609C4"/>
    <w:rsid w:val="00E616B1"/>
    <w:rsid w:val="00E63765"/>
    <w:rsid w:val="00E729D8"/>
    <w:rsid w:val="00E74C7B"/>
    <w:rsid w:val="00E8008D"/>
    <w:rsid w:val="00E84800"/>
    <w:rsid w:val="00E949EF"/>
    <w:rsid w:val="00E94DE0"/>
    <w:rsid w:val="00E9609C"/>
    <w:rsid w:val="00E96531"/>
    <w:rsid w:val="00EA4162"/>
    <w:rsid w:val="00EA4D56"/>
    <w:rsid w:val="00EA68CF"/>
    <w:rsid w:val="00EB25A9"/>
    <w:rsid w:val="00EB4524"/>
    <w:rsid w:val="00EB5127"/>
    <w:rsid w:val="00EC0060"/>
    <w:rsid w:val="00EC1527"/>
    <w:rsid w:val="00EC5D12"/>
    <w:rsid w:val="00EC7526"/>
    <w:rsid w:val="00ED6B7E"/>
    <w:rsid w:val="00ED6CC3"/>
    <w:rsid w:val="00ED788F"/>
    <w:rsid w:val="00EE0798"/>
    <w:rsid w:val="00EE6301"/>
    <w:rsid w:val="00EF122C"/>
    <w:rsid w:val="00EF4A90"/>
    <w:rsid w:val="00EF54DC"/>
    <w:rsid w:val="00EF55EB"/>
    <w:rsid w:val="00EF6195"/>
    <w:rsid w:val="00EF7996"/>
    <w:rsid w:val="00F00208"/>
    <w:rsid w:val="00F03A09"/>
    <w:rsid w:val="00F04A6B"/>
    <w:rsid w:val="00F05163"/>
    <w:rsid w:val="00F132C5"/>
    <w:rsid w:val="00F13B77"/>
    <w:rsid w:val="00F13DD1"/>
    <w:rsid w:val="00F13F3B"/>
    <w:rsid w:val="00F14B3B"/>
    <w:rsid w:val="00F159EC"/>
    <w:rsid w:val="00F2075E"/>
    <w:rsid w:val="00F212A5"/>
    <w:rsid w:val="00F241DF"/>
    <w:rsid w:val="00F24556"/>
    <w:rsid w:val="00F27727"/>
    <w:rsid w:val="00F31A06"/>
    <w:rsid w:val="00F32301"/>
    <w:rsid w:val="00F33867"/>
    <w:rsid w:val="00F441C8"/>
    <w:rsid w:val="00F44FC8"/>
    <w:rsid w:val="00F47312"/>
    <w:rsid w:val="00F56B4B"/>
    <w:rsid w:val="00F6555A"/>
    <w:rsid w:val="00F67545"/>
    <w:rsid w:val="00F774A9"/>
    <w:rsid w:val="00F802A5"/>
    <w:rsid w:val="00F85E15"/>
    <w:rsid w:val="00F8624E"/>
    <w:rsid w:val="00F87B21"/>
    <w:rsid w:val="00F90345"/>
    <w:rsid w:val="00F9391A"/>
    <w:rsid w:val="00F97EEA"/>
    <w:rsid w:val="00F97F33"/>
    <w:rsid w:val="00FA1EF1"/>
    <w:rsid w:val="00FA2CA1"/>
    <w:rsid w:val="00FA2FFB"/>
    <w:rsid w:val="00FA676B"/>
    <w:rsid w:val="00FA7134"/>
    <w:rsid w:val="00FA7191"/>
    <w:rsid w:val="00FA74A6"/>
    <w:rsid w:val="00FC5751"/>
    <w:rsid w:val="00FC6F28"/>
    <w:rsid w:val="00FC7739"/>
    <w:rsid w:val="00FD1944"/>
    <w:rsid w:val="00FD3EFB"/>
    <w:rsid w:val="00FD50FD"/>
    <w:rsid w:val="00FD59D9"/>
    <w:rsid w:val="00FD76DB"/>
    <w:rsid w:val="00FD7B01"/>
    <w:rsid w:val="00FE08F6"/>
    <w:rsid w:val="00FE503D"/>
    <w:rsid w:val="00FE5087"/>
    <w:rsid w:val="00FF03AC"/>
    <w:rsid w:val="00FF29C2"/>
    <w:rsid w:val="00FF32FA"/>
    <w:rsid w:val="00FF4CE0"/>
    <w:rsid w:val="02015E21"/>
    <w:rsid w:val="076BF9EB"/>
    <w:rsid w:val="0907CA4C"/>
    <w:rsid w:val="0AA39AAD"/>
    <w:rsid w:val="0CB633CA"/>
    <w:rsid w:val="0E880E3A"/>
    <w:rsid w:val="11DC510C"/>
    <w:rsid w:val="12AB070F"/>
    <w:rsid w:val="14948EBE"/>
    <w:rsid w:val="18DDAAB8"/>
    <w:rsid w:val="1A060B7C"/>
    <w:rsid w:val="1DA6BEA9"/>
    <w:rsid w:val="334A7D23"/>
    <w:rsid w:val="38007F67"/>
    <w:rsid w:val="398B381F"/>
    <w:rsid w:val="3A9769BB"/>
    <w:rsid w:val="3AABC8C6"/>
    <w:rsid w:val="3B09D4F5"/>
    <w:rsid w:val="3CEEEB96"/>
    <w:rsid w:val="3F6ADADE"/>
    <w:rsid w:val="40409F7A"/>
    <w:rsid w:val="45A47A2E"/>
    <w:rsid w:val="4698A952"/>
    <w:rsid w:val="4EA3BCF6"/>
    <w:rsid w:val="4ED313B4"/>
    <w:rsid w:val="5269D4D9"/>
    <w:rsid w:val="52783B07"/>
    <w:rsid w:val="54A09F00"/>
    <w:rsid w:val="552F0A61"/>
    <w:rsid w:val="5572A7C8"/>
    <w:rsid w:val="56CADAC2"/>
    <w:rsid w:val="5A38C586"/>
    <w:rsid w:val="5A6CB841"/>
    <w:rsid w:val="5CC0B213"/>
    <w:rsid w:val="614FCC6E"/>
    <w:rsid w:val="630C611B"/>
    <w:rsid w:val="63D9C3A9"/>
    <w:rsid w:val="66FE66F0"/>
    <w:rsid w:val="679E06B0"/>
    <w:rsid w:val="6A00EAD4"/>
    <w:rsid w:val="6C4BAD89"/>
    <w:rsid w:val="6C7BDEBA"/>
    <w:rsid w:val="710E8F86"/>
    <w:rsid w:val="71A8237B"/>
    <w:rsid w:val="7362CF34"/>
    <w:rsid w:val="744235CA"/>
    <w:rsid w:val="7621CC6B"/>
    <w:rsid w:val="7CB5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C50C6"/>
  <w15:docId w15:val="{CB9BB9FA-4F7A-4E6D-8306-C27E4170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D04"/>
    <w:pPr>
      <w:widowControl w:val="0"/>
      <w:spacing w:after="0" w:line="240" w:lineRule="auto"/>
      <w:ind w:right="242"/>
    </w:pPr>
    <w:rPr>
      <w:rFonts w:ascii="Calibri" w:eastAsia="Trebuchet MS" w:hAnsi="Calibri" w:cs="Times New Roman"/>
      <w:spacing w:val="-1"/>
    </w:rPr>
  </w:style>
  <w:style w:type="paragraph" w:styleId="Heading1">
    <w:name w:val="heading 1"/>
    <w:basedOn w:val="Normal"/>
    <w:next w:val="Normal"/>
    <w:link w:val="Heading1Char"/>
    <w:uiPriority w:val="1"/>
    <w:qFormat/>
    <w:rsid w:val="00610DE9"/>
    <w:pPr>
      <w:numPr>
        <w:numId w:val="1"/>
      </w:numPr>
      <w:ind w:right="0"/>
      <w:outlineLvl w:val="0"/>
    </w:pPr>
    <w:rPr>
      <w:b/>
      <w:sz w:val="28"/>
    </w:rPr>
  </w:style>
  <w:style w:type="paragraph" w:styleId="Heading2">
    <w:name w:val="heading 2"/>
    <w:basedOn w:val="Normal"/>
    <w:next w:val="Normal"/>
    <w:link w:val="Heading2Char"/>
    <w:uiPriority w:val="1"/>
    <w:unhideWhenUsed/>
    <w:qFormat/>
    <w:rsid w:val="00532F11"/>
    <w:pPr>
      <w:outlineLvl w:val="1"/>
    </w:pPr>
    <w:rPr>
      <w:b/>
      <w:sz w:val="28"/>
    </w:rPr>
  </w:style>
  <w:style w:type="paragraph" w:styleId="Heading3">
    <w:name w:val="heading 3"/>
    <w:basedOn w:val="Normal"/>
    <w:next w:val="Normal"/>
    <w:link w:val="Heading3Char"/>
    <w:uiPriority w:val="1"/>
    <w:qFormat/>
    <w:rsid w:val="00B10D04"/>
    <w:pPr>
      <w:ind w:left="360" w:right="0" w:hanging="360"/>
      <w:outlineLvl w:val="2"/>
    </w:pPr>
    <w:rPr>
      <w:b/>
      <w:bCs/>
      <w:sz w:val="24"/>
      <w:szCs w:val="24"/>
    </w:rPr>
  </w:style>
  <w:style w:type="paragraph" w:styleId="Heading4">
    <w:name w:val="heading 4"/>
    <w:basedOn w:val="Normal"/>
    <w:next w:val="Normal"/>
    <w:link w:val="Heading4Char"/>
    <w:uiPriority w:val="1"/>
    <w:unhideWhenUsed/>
    <w:qFormat/>
    <w:rsid w:val="00CE32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10DE9"/>
    <w:rPr>
      <w:rFonts w:ascii="Calibri" w:eastAsia="Trebuchet MS" w:hAnsi="Calibri" w:cs="Times New Roman"/>
      <w:b/>
      <w:spacing w:val="-1"/>
      <w:sz w:val="28"/>
    </w:rPr>
  </w:style>
  <w:style w:type="paragraph" w:styleId="TOCHeading">
    <w:name w:val="TOC Heading"/>
    <w:basedOn w:val="Normal"/>
    <w:next w:val="Normal"/>
    <w:uiPriority w:val="39"/>
    <w:unhideWhenUsed/>
    <w:qFormat/>
    <w:rsid w:val="00A06B09"/>
    <w:rPr>
      <w:b/>
      <w:sz w:val="28"/>
      <w:lang w:eastAsia="ja-JP"/>
    </w:rPr>
  </w:style>
  <w:style w:type="paragraph" w:styleId="BalloonText">
    <w:name w:val="Balloon Text"/>
    <w:basedOn w:val="Normal"/>
    <w:link w:val="BalloonTextChar"/>
    <w:uiPriority w:val="99"/>
    <w:semiHidden/>
    <w:unhideWhenUsed/>
    <w:rsid w:val="003633DE"/>
    <w:rPr>
      <w:rFonts w:ascii="Tahoma" w:hAnsi="Tahoma" w:cs="Tahoma"/>
      <w:sz w:val="16"/>
      <w:szCs w:val="16"/>
    </w:rPr>
  </w:style>
  <w:style w:type="character" w:customStyle="1" w:styleId="BalloonTextChar">
    <w:name w:val="Balloon Text Char"/>
    <w:basedOn w:val="DefaultParagraphFont"/>
    <w:link w:val="BalloonText"/>
    <w:uiPriority w:val="99"/>
    <w:semiHidden/>
    <w:rsid w:val="003633DE"/>
    <w:rPr>
      <w:rFonts w:ascii="Tahoma" w:hAnsi="Tahoma" w:cs="Tahoma"/>
      <w:sz w:val="16"/>
      <w:szCs w:val="16"/>
    </w:rPr>
  </w:style>
  <w:style w:type="character" w:customStyle="1" w:styleId="Heading2Char">
    <w:name w:val="Heading 2 Char"/>
    <w:basedOn w:val="DefaultParagraphFont"/>
    <w:link w:val="Heading2"/>
    <w:uiPriority w:val="1"/>
    <w:rsid w:val="00532F11"/>
    <w:rPr>
      <w:rFonts w:ascii="Times New Roman" w:eastAsia="Trebuchet MS" w:hAnsi="Times New Roman" w:cs="Times New Roman"/>
      <w:b/>
      <w:spacing w:val="-1"/>
      <w:sz w:val="28"/>
    </w:rPr>
  </w:style>
  <w:style w:type="paragraph" w:styleId="TOC1">
    <w:name w:val="toc 1"/>
    <w:basedOn w:val="Normal"/>
    <w:next w:val="Normal"/>
    <w:autoRedefine/>
    <w:uiPriority w:val="39"/>
    <w:unhideWhenUsed/>
    <w:rsid w:val="00F05163"/>
    <w:pPr>
      <w:tabs>
        <w:tab w:val="left" w:pos="360"/>
        <w:tab w:val="left" w:pos="720"/>
        <w:tab w:val="right" w:leader="dot" w:pos="9360"/>
      </w:tabs>
      <w:spacing w:before="120" w:after="60"/>
      <w:ind w:right="0"/>
    </w:pPr>
  </w:style>
  <w:style w:type="paragraph" w:styleId="TOC2">
    <w:name w:val="toc 2"/>
    <w:basedOn w:val="Normal"/>
    <w:next w:val="Normal"/>
    <w:autoRedefine/>
    <w:uiPriority w:val="39"/>
    <w:unhideWhenUsed/>
    <w:rsid w:val="00936DE3"/>
    <w:pPr>
      <w:tabs>
        <w:tab w:val="right" w:leader="dot" w:pos="9360"/>
      </w:tabs>
      <w:spacing w:after="60"/>
      <w:ind w:left="360" w:right="0"/>
    </w:pPr>
  </w:style>
  <w:style w:type="character" w:styleId="Hyperlink">
    <w:name w:val="Hyperlink"/>
    <w:basedOn w:val="DefaultParagraphFont"/>
    <w:uiPriority w:val="99"/>
    <w:unhideWhenUsed/>
    <w:rsid w:val="001D4164"/>
    <w:rPr>
      <w:color w:val="0000FF" w:themeColor="hyperlink"/>
      <w:u w:val="single"/>
    </w:rPr>
  </w:style>
  <w:style w:type="paragraph" w:styleId="ListParagraph">
    <w:name w:val="List Paragraph"/>
    <w:basedOn w:val="Normal"/>
    <w:uiPriority w:val="34"/>
    <w:qFormat/>
    <w:rsid w:val="00DC00BC"/>
    <w:pPr>
      <w:ind w:left="720"/>
      <w:contextualSpacing/>
    </w:pPr>
  </w:style>
  <w:style w:type="paragraph" w:styleId="Header">
    <w:name w:val="header"/>
    <w:basedOn w:val="Normal"/>
    <w:link w:val="HeaderChar"/>
    <w:uiPriority w:val="99"/>
    <w:unhideWhenUsed/>
    <w:rsid w:val="00EB25A9"/>
    <w:pPr>
      <w:tabs>
        <w:tab w:val="center" w:pos="4680"/>
        <w:tab w:val="right" w:pos="9360"/>
      </w:tabs>
    </w:pPr>
  </w:style>
  <w:style w:type="character" w:customStyle="1" w:styleId="HeaderChar">
    <w:name w:val="Header Char"/>
    <w:basedOn w:val="DefaultParagraphFont"/>
    <w:link w:val="Header"/>
    <w:uiPriority w:val="99"/>
    <w:rsid w:val="00EB25A9"/>
  </w:style>
  <w:style w:type="paragraph" w:styleId="Footer">
    <w:name w:val="footer"/>
    <w:basedOn w:val="Normal"/>
    <w:link w:val="FooterChar"/>
    <w:uiPriority w:val="99"/>
    <w:unhideWhenUsed/>
    <w:rsid w:val="00EB25A9"/>
    <w:pPr>
      <w:tabs>
        <w:tab w:val="center" w:pos="4680"/>
        <w:tab w:val="right" w:pos="9360"/>
      </w:tabs>
    </w:pPr>
  </w:style>
  <w:style w:type="character" w:customStyle="1" w:styleId="FooterChar">
    <w:name w:val="Footer Char"/>
    <w:basedOn w:val="DefaultParagraphFont"/>
    <w:link w:val="Footer"/>
    <w:uiPriority w:val="99"/>
    <w:rsid w:val="00EB25A9"/>
  </w:style>
  <w:style w:type="character" w:customStyle="1" w:styleId="Heading4Char">
    <w:name w:val="Heading 4 Char"/>
    <w:basedOn w:val="DefaultParagraphFont"/>
    <w:link w:val="Heading4"/>
    <w:uiPriority w:val="9"/>
    <w:semiHidden/>
    <w:rsid w:val="00CE321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1"/>
    <w:rsid w:val="00B10D04"/>
    <w:rPr>
      <w:rFonts w:ascii="Calibri" w:eastAsia="Trebuchet MS" w:hAnsi="Calibri" w:cs="Times New Roman"/>
      <w:b/>
      <w:bCs/>
      <w:spacing w:val="-1"/>
      <w:sz w:val="24"/>
      <w:szCs w:val="24"/>
    </w:rPr>
  </w:style>
  <w:style w:type="paragraph" w:styleId="BodyText">
    <w:name w:val="Body Text"/>
    <w:basedOn w:val="Normal"/>
    <w:next w:val="Normal"/>
    <w:link w:val="BodyTextChar"/>
    <w:uiPriority w:val="1"/>
    <w:qFormat/>
    <w:rsid w:val="00B43E7D"/>
    <w:pPr>
      <w:ind w:left="360" w:right="0" w:hanging="360"/>
    </w:pPr>
    <w:rPr>
      <w:b/>
    </w:rPr>
  </w:style>
  <w:style w:type="character" w:customStyle="1" w:styleId="BodyTextChar">
    <w:name w:val="Body Text Char"/>
    <w:basedOn w:val="DefaultParagraphFont"/>
    <w:link w:val="BodyText"/>
    <w:uiPriority w:val="1"/>
    <w:rsid w:val="00B43E7D"/>
    <w:rPr>
      <w:rFonts w:ascii="Times New Roman" w:eastAsia="Trebuchet MS" w:hAnsi="Times New Roman" w:cs="Times New Roman"/>
      <w:b/>
      <w:spacing w:val="-1"/>
      <w:sz w:val="24"/>
    </w:rPr>
  </w:style>
  <w:style w:type="paragraph" w:customStyle="1" w:styleId="TableParagraph">
    <w:name w:val="Table Paragraph"/>
    <w:basedOn w:val="Normal"/>
    <w:uiPriority w:val="1"/>
    <w:qFormat/>
    <w:rsid w:val="003C6053"/>
  </w:style>
  <w:style w:type="paragraph" w:styleId="FootnoteText">
    <w:name w:val="footnote text"/>
    <w:basedOn w:val="Normal"/>
    <w:link w:val="FootnoteTextChar"/>
    <w:uiPriority w:val="99"/>
    <w:semiHidden/>
    <w:unhideWhenUsed/>
    <w:rsid w:val="003C6053"/>
    <w:rPr>
      <w:sz w:val="20"/>
      <w:szCs w:val="20"/>
    </w:rPr>
  </w:style>
  <w:style w:type="character" w:customStyle="1" w:styleId="FootnoteTextChar">
    <w:name w:val="Footnote Text Char"/>
    <w:basedOn w:val="DefaultParagraphFont"/>
    <w:link w:val="FootnoteText"/>
    <w:uiPriority w:val="99"/>
    <w:semiHidden/>
    <w:rsid w:val="003C6053"/>
    <w:rPr>
      <w:sz w:val="20"/>
      <w:szCs w:val="20"/>
    </w:rPr>
  </w:style>
  <w:style w:type="character" w:styleId="FootnoteReference">
    <w:name w:val="footnote reference"/>
    <w:basedOn w:val="DefaultParagraphFont"/>
    <w:uiPriority w:val="99"/>
    <w:semiHidden/>
    <w:unhideWhenUsed/>
    <w:rsid w:val="003C6053"/>
    <w:rPr>
      <w:vertAlign w:val="superscript"/>
    </w:rPr>
  </w:style>
  <w:style w:type="paragraph" w:styleId="TOC3">
    <w:name w:val="toc 3"/>
    <w:basedOn w:val="Normal"/>
    <w:next w:val="Normal"/>
    <w:autoRedefine/>
    <w:uiPriority w:val="39"/>
    <w:unhideWhenUsed/>
    <w:rsid w:val="00936DE3"/>
    <w:pPr>
      <w:tabs>
        <w:tab w:val="left" w:pos="880"/>
        <w:tab w:val="left" w:pos="1320"/>
        <w:tab w:val="right" w:leader="dot" w:pos="9350"/>
      </w:tabs>
      <w:spacing w:after="60"/>
      <w:ind w:left="720" w:right="245"/>
    </w:pPr>
  </w:style>
  <w:style w:type="table" w:customStyle="1" w:styleId="TableGrid1">
    <w:name w:val="Table Grid1"/>
    <w:basedOn w:val="TableNormal"/>
    <w:next w:val="TableGrid"/>
    <w:uiPriority w:val="59"/>
    <w:rsid w:val="0092282C"/>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5D4"/>
    <w:rPr>
      <w:sz w:val="16"/>
      <w:szCs w:val="16"/>
    </w:rPr>
  </w:style>
  <w:style w:type="paragraph" w:styleId="CommentText">
    <w:name w:val="annotation text"/>
    <w:basedOn w:val="Normal"/>
    <w:link w:val="CommentTextChar"/>
    <w:uiPriority w:val="99"/>
    <w:unhideWhenUsed/>
    <w:rsid w:val="00E355D4"/>
    <w:rPr>
      <w:sz w:val="20"/>
      <w:szCs w:val="20"/>
    </w:rPr>
  </w:style>
  <w:style w:type="character" w:customStyle="1" w:styleId="CommentTextChar">
    <w:name w:val="Comment Text Char"/>
    <w:basedOn w:val="DefaultParagraphFont"/>
    <w:link w:val="CommentText"/>
    <w:uiPriority w:val="99"/>
    <w:rsid w:val="00E355D4"/>
    <w:rPr>
      <w:sz w:val="20"/>
      <w:szCs w:val="20"/>
    </w:rPr>
  </w:style>
  <w:style w:type="paragraph" w:styleId="CommentSubject">
    <w:name w:val="annotation subject"/>
    <w:basedOn w:val="CommentText"/>
    <w:next w:val="CommentText"/>
    <w:link w:val="CommentSubjectChar"/>
    <w:uiPriority w:val="99"/>
    <w:semiHidden/>
    <w:unhideWhenUsed/>
    <w:rsid w:val="00E355D4"/>
    <w:rPr>
      <w:b/>
      <w:bCs/>
    </w:rPr>
  </w:style>
  <w:style w:type="character" w:customStyle="1" w:styleId="CommentSubjectChar">
    <w:name w:val="Comment Subject Char"/>
    <w:basedOn w:val="CommentTextChar"/>
    <w:link w:val="CommentSubject"/>
    <w:uiPriority w:val="99"/>
    <w:semiHidden/>
    <w:rsid w:val="00E355D4"/>
    <w:rPr>
      <w:b/>
      <w:bCs/>
      <w:sz w:val="20"/>
      <w:szCs w:val="20"/>
    </w:rPr>
  </w:style>
  <w:style w:type="character" w:customStyle="1" w:styleId="normaltextrun">
    <w:name w:val="normaltextrun"/>
    <w:basedOn w:val="DefaultParagraphFont"/>
    <w:rsid w:val="00AB1766"/>
  </w:style>
  <w:style w:type="character" w:customStyle="1" w:styleId="markedcontent">
    <w:name w:val="markedcontent"/>
    <w:basedOn w:val="DefaultParagraphFont"/>
    <w:rsid w:val="00CB4C7E"/>
  </w:style>
  <w:style w:type="character" w:styleId="FollowedHyperlink">
    <w:name w:val="FollowedHyperlink"/>
    <w:basedOn w:val="DefaultParagraphFont"/>
    <w:uiPriority w:val="99"/>
    <w:semiHidden/>
    <w:unhideWhenUsed/>
    <w:rsid w:val="00B81234"/>
    <w:rPr>
      <w:color w:val="800080" w:themeColor="followedHyperlink"/>
      <w:u w:val="single"/>
    </w:rPr>
  </w:style>
  <w:style w:type="paragraph" w:styleId="NormalWeb">
    <w:name w:val="Normal (Web)"/>
    <w:basedOn w:val="Normal"/>
    <w:uiPriority w:val="99"/>
    <w:semiHidden/>
    <w:unhideWhenUsed/>
    <w:rsid w:val="00EC0060"/>
    <w:pPr>
      <w:widowControl/>
      <w:spacing w:before="100" w:beforeAutospacing="1" w:after="100" w:afterAutospacing="1"/>
      <w:ind w:right="0"/>
    </w:pPr>
    <w:rPr>
      <w:rFonts w:ascii="Times New Roman" w:eastAsia="Times New Roman" w:hAnsi="Times New Roman"/>
      <w:spacing w:val="0"/>
      <w:sz w:val="24"/>
      <w:szCs w:val="24"/>
    </w:rPr>
  </w:style>
  <w:style w:type="paragraph" w:styleId="Revision">
    <w:name w:val="Revision"/>
    <w:hidden/>
    <w:uiPriority w:val="99"/>
    <w:semiHidden/>
    <w:rsid w:val="003D4C72"/>
    <w:pPr>
      <w:spacing w:after="0" w:line="240" w:lineRule="auto"/>
    </w:pPr>
    <w:rPr>
      <w:rFonts w:ascii="Calibri" w:eastAsia="Trebuchet MS" w:hAnsi="Calibri" w:cs="Times New Roman"/>
      <w:spacing w:val="-1"/>
    </w:rPr>
  </w:style>
  <w:style w:type="character" w:styleId="UnresolvedMention">
    <w:name w:val="Unresolved Mention"/>
    <w:basedOn w:val="DefaultParagraphFont"/>
    <w:uiPriority w:val="99"/>
    <w:semiHidden/>
    <w:unhideWhenUsed/>
    <w:rsid w:val="00CB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736">
      <w:bodyDiv w:val="1"/>
      <w:marLeft w:val="0"/>
      <w:marRight w:val="0"/>
      <w:marTop w:val="0"/>
      <w:marBottom w:val="0"/>
      <w:divBdr>
        <w:top w:val="none" w:sz="0" w:space="0" w:color="auto"/>
        <w:left w:val="none" w:sz="0" w:space="0" w:color="auto"/>
        <w:bottom w:val="none" w:sz="0" w:space="0" w:color="auto"/>
        <w:right w:val="none" w:sz="0" w:space="0" w:color="auto"/>
      </w:divBdr>
    </w:div>
    <w:div w:id="30344351">
      <w:bodyDiv w:val="1"/>
      <w:marLeft w:val="0"/>
      <w:marRight w:val="0"/>
      <w:marTop w:val="0"/>
      <w:marBottom w:val="0"/>
      <w:divBdr>
        <w:top w:val="none" w:sz="0" w:space="0" w:color="auto"/>
        <w:left w:val="none" w:sz="0" w:space="0" w:color="auto"/>
        <w:bottom w:val="none" w:sz="0" w:space="0" w:color="auto"/>
        <w:right w:val="none" w:sz="0" w:space="0" w:color="auto"/>
      </w:divBdr>
    </w:div>
    <w:div w:id="384522764">
      <w:bodyDiv w:val="1"/>
      <w:marLeft w:val="0"/>
      <w:marRight w:val="0"/>
      <w:marTop w:val="0"/>
      <w:marBottom w:val="0"/>
      <w:divBdr>
        <w:top w:val="none" w:sz="0" w:space="0" w:color="auto"/>
        <w:left w:val="none" w:sz="0" w:space="0" w:color="auto"/>
        <w:bottom w:val="none" w:sz="0" w:space="0" w:color="auto"/>
        <w:right w:val="none" w:sz="0" w:space="0" w:color="auto"/>
      </w:divBdr>
    </w:div>
    <w:div w:id="451443474">
      <w:bodyDiv w:val="1"/>
      <w:marLeft w:val="0"/>
      <w:marRight w:val="0"/>
      <w:marTop w:val="0"/>
      <w:marBottom w:val="0"/>
      <w:divBdr>
        <w:top w:val="none" w:sz="0" w:space="0" w:color="auto"/>
        <w:left w:val="none" w:sz="0" w:space="0" w:color="auto"/>
        <w:bottom w:val="none" w:sz="0" w:space="0" w:color="auto"/>
        <w:right w:val="none" w:sz="0" w:space="0" w:color="auto"/>
      </w:divBdr>
    </w:div>
    <w:div w:id="593513493">
      <w:bodyDiv w:val="1"/>
      <w:marLeft w:val="0"/>
      <w:marRight w:val="0"/>
      <w:marTop w:val="0"/>
      <w:marBottom w:val="0"/>
      <w:divBdr>
        <w:top w:val="none" w:sz="0" w:space="0" w:color="auto"/>
        <w:left w:val="none" w:sz="0" w:space="0" w:color="auto"/>
        <w:bottom w:val="none" w:sz="0" w:space="0" w:color="auto"/>
        <w:right w:val="none" w:sz="0" w:space="0" w:color="auto"/>
      </w:divBdr>
    </w:div>
    <w:div w:id="934441746">
      <w:bodyDiv w:val="1"/>
      <w:marLeft w:val="0"/>
      <w:marRight w:val="0"/>
      <w:marTop w:val="0"/>
      <w:marBottom w:val="0"/>
      <w:divBdr>
        <w:top w:val="none" w:sz="0" w:space="0" w:color="auto"/>
        <w:left w:val="none" w:sz="0" w:space="0" w:color="auto"/>
        <w:bottom w:val="none" w:sz="0" w:space="0" w:color="auto"/>
        <w:right w:val="none" w:sz="0" w:space="0" w:color="auto"/>
      </w:divBdr>
    </w:div>
    <w:div w:id="1246576517">
      <w:bodyDiv w:val="1"/>
      <w:marLeft w:val="0"/>
      <w:marRight w:val="0"/>
      <w:marTop w:val="0"/>
      <w:marBottom w:val="0"/>
      <w:divBdr>
        <w:top w:val="none" w:sz="0" w:space="0" w:color="auto"/>
        <w:left w:val="none" w:sz="0" w:space="0" w:color="auto"/>
        <w:bottom w:val="none" w:sz="0" w:space="0" w:color="auto"/>
        <w:right w:val="none" w:sz="0" w:space="0" w:color="auto"/>
      </w:divBdr>
      <w:divsChild>
        <w:div w:id="628509521">
          <w:marLeft w:val="806"/>
          <w:marRight w:val="0"/>
          <w:marTop w:val="75"/>
          <w:marBottom w:val="0"/>
          <w:divBdr>
            <w:top w:val="none" w:sz="0" w:space="0" w:color="auto"/>
            <w:left w:val="none" w:sz="0" w:space="0" w:color="auto"/>
            <w:bottom w:val="none" w:sz="0" w:space="0" w:color="auto"/>
            <w:right w:val="none" w:sz="0" w:space="0" w:color="auto"/>
          </w:divBdr>
        </w:div>
        <w:div w:id="729960207">
          <w:marLeft w:val="806"/>
          <w:marRight w:val="0"/>
          <w:marTop w:val="75"/>
          <w:marBottom w:val="0"/>
          <w:divBdr>
            <w:top w:val="none" w:sz="0" w:space="0" w:color="auto"/>
            <w:left w:val="none" w:sz="0" w:space="0" w:color="auto"/>
            <w:bottom w:val="none" w:sz="0" w:space="0" w:color="auto"/>
            <w:right w:val="none" w:sz="0" w:space="0" w:color="auto"/>
          </w:divBdr>
        </w:div>
        <w:div w:id="1365784556">
          <w:marLeft w:val="806"/>
          <w:marRight w:val="0"/>
          <w:marTop w:val="75"/>
          <w:marBottom w:val="0"/>
          <w:divBdr>
            <w:top w:val="none" w:sz="0" w:space="0" w:color="auto"/>
            <w:left w:val="none" w:sz="0" w:space="0" w:color="auto"/>
            <w:bottom w:val="none" w:sz="0" w:space="0" w:color="auto"/>
            <w:right w:val="none" w:sz="0" w:space="0" w:color="auto"/>
          </w:divBdr>
        </w:div>
        <w:div w:id="1456866543">
          <w:marLeft w:val="806"/>
          <w:marRight w:val="0"/>
          <w:marTop w:val="75"/>
          <w:marBottom w:val="0"/>
          <w:divBdr>
            <w:top w:val="none" w:sz="0" w:space="0" w:color="auto"/>
            <w:left w:val="none" w:sz="0" w:space="0" w:color="auto"/>
            <w:bottom w:val="none" w:sz="0" w:space="0" w:color="auto"/>
            <w:right w:val="none" w:sz="0" w:space="0" w:color="auto"/>
          </w:divBdr>
        </w:div>
        <w:div w:id="1712726162">
          <w:marLeft w:val="806"/>
          <w:marRight w:val="0"/>
          <w:marTop w:val="75"/>
          <w:marBottom w:val="0"/>
          <w:divBdr>
            <w:top w:val="none" w:sz="0" w:space="0" w:color="auto"/>
            <w:left w:val="none" w:sz="0" w:space="0" w:color="auto"/>
            <w:bottom w:val="none" w:sz="0" w:space="0" w:color="auto"/>
            <w:right w:val="none" w:sz="0" w:space="0" w:color="auto"/>
          </w:divBdr>
        </w:div>
      </w:divsChild>
    </w:div>
    <w:div w:id="1274942969">
      <w:bodyDiv w:val="1"/>
      <w:marLeft w:val="0"/>
      <w:marRight w:val="0"/>
      <w:marTop w:val="0"/>
      <w:marBottom w:val="0"/>
      <w:divBdr>
        <w:top w:val="none" w:sz="0" w:space="0" w:color="auto"/>
        <w:left w:val="none" w:sz="0" w:space="0" w:color="auto"/>
        <w:bottom w:val="none" w:sz="0" w:space="0" w:color="auto"/>
        <w:right w:val="none" w:sz="0" w:space="0" w:color="auto"/>
      </w:divBdr>
    </w:div>
    <w:div w:id="1349792491">
      <w:bodyDiv w:val="1"/>
      <w:marLeft w:val="0"/>
      <w:marRight w:val="0"/>
      <w:marTop w:val="0"/>
      <w:marBottom w:val="0"/>
      <w:divBdr>
        <w:top w:val="none" w:sz="0" w:space="0" w:color="auto"/>
        <w:left w:val="none" w:sz="0" w:space="0" w:color="auto"/>
        <w:bottom w:val="none" w:sz="0" w:space="0" w:color="auto"/>
        <w:right w:val="none" w:sz="0" w:space="0" w:color="auto"/>
      </w:divBdr>
    </w:div>
    <w:div w:id="1775904072">
      <w:bodyDiv w:val="1"/>
      <w:marLeft w:val="0"/>
      <w:marRight w:val="0"/>
      <w:marTop w:val="0"/>
      <w:marBottom w:val="0"/>
      <w:divBdr>
        <w:top w:val="none" w:sz="0" w:space="0" w:color="auto"/>
        <w:left w:val="none" w:sz="0" w:space="0" w:color="auto"/>
        <w:bottom w:val="none" w:sz="0" w:space="0" w:color="auto"/>
        <w:right w:val="none" w:sz="0" w:space="0" w:color="auto"/>
      </w:divBdr>
    </w:div>
    <w:div w:id="1781755983">
      <w:bodyDiv w:val="1"/>
      <w:marLeft w:val="0"/>
      <w:marRight w:val="0"/>
      <w:marTop w:val="0"/>
      <w:marBottom w:val="0"/>
      <w:divBdr>
        <w:top w:val="none" w:sz="0" w:space="0" w:color="auto"/>
        <w:left w:val="none" w:sz="0" w:space="0" w:color="auto"/>
        <w:bottom w:val="none" w:sz="0" w:space="0" w:color="auto"/>
        <w:right w:val="none" w:sz="0" w:space="0" w:color="auto"/>
      </w:divBdr>
    </w:div>
    <w:div w:id="1834025972">
      <w:bodyDiv w:val="1"/>
      <w:marLeft w:val="0"/>
      <w:marRight w:val="0"/>
      <w:marTop w:val="0"/>
      <w:marBottom w:val="0"/>
      <w:divBdr>
        <w:top w:val="none" w:sz="0" w:space="0" w:color="auto"/>
        <w:left w:val="none" w:sz="0" w:space="0" w:color="auto"/>
        <w:bottom w:val="none" w:sz="0" w:space="0" w:color="auto"/>
        <w:right w:val="none" w:sz="0" w:space="0" w:color="auto"/>
      </w:divBdr>
      <w:divsChild>
        <w:div w:id="2146850745">
          <w:marLeft w:val="0"/>
          <w:marRight w:val="0"/>
          <w:marTop w:val="0"/>
          <w:marBottom w:val="0"/>
          <w:divBdr>
            <w:top w:val="none" w:sz="0" w:space="0" w:color="auto"/>
            <w:left w:val="none" w:sz="0" w:space="0" w:color="auto"/>
            <w:bottom w:val="none" w:sz="0" w:space="0" w:color="auto"/>
            <w:right w:val="none" w:sz="0" w:space="0" w:color="auto"/>
          </w:divBdr>
          <w:divsChild>
            <w:div w:id="773591511">
              <w:marLeft w:val="0"/>
              <w:marRight w:val="0"/>
              <w:marTop w:val="0"/>
              <w:marBottom w:val="0"/>
              <w:divBdr>
                <w:top w:val="none" w:sz="0" w:space="0" w:color="auto"/>
                <w:left w:val="none" w:sz="0" w:space="0" w:color="auto"/>
                <w:bottom w:val="none" w:sz="0" w:space="0" w:color="auto"/>
                <w:right w:val="none" w:sz="0" w:space="0" w:color="auto"/>
              </w:divBdr>
              <w:divsChild>
                <w:div w:id="1767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1451">
      <w:bodyDiv w:val="1"/>
      <w:marLeft w:val="0"/>
      <w:marRight w:val="0"/>
      <w:marTop w:val="0"/>
      <w:marBottom w:val="0"/>
      <w:divBdr>
        <w:top w:val="none" w:sz="0" w:space="0" w:color="auto"/>
        <w:left w:val="none" w:sz="0" w:space="0" w:color="auto"/>
        <w:bottom w:val="none" w:sz="0" w:space="0" w:color="auto"/>
        <w:right w:val="none" w:sz="0" w:space="0" w:color="auto"/>
      </w:divBdr>
    </w:div>
    <w:div w:id="1907033704">
      <w:bodyDiv w:val="1"/>
      <w:marLeft w:val="0"/>
      <w:marRight w:val="0"/>
      <w:marTop w:val="0"/>
      <w:marBottom w:val="0"/>
      <w:divBdr>
        <w:top w:val="none" w:sz="0" w:space="0" w:color="auto"/>
        <w:left w:val="none" w:sz="0" w:space="0" w:color="auto"/>
        <w:bottom w:val="none" w:sz="0" w:space="0" w:color="auto"/>
        <w:right w:val="none" w:sz="0" w:space="0" w:color="auto"/>
      </w:divBdr>
    </w:div>
    <w:div w:id="1976447749">
      <w:bodyDiv w:val="1"/>
      <w:marLeft w:val="0"/>
      <w:marRight w:val="0"/>
      <w:marTop w:val="0"/>
      <w:marBottom w:val="0"/>
      <w:divBdr>
        <w:top w:val="none" w:sz="0" w:space="0" w:color="auto"/>
        <w:left w:val="none" w:sz="0" w:space="0" w:color="auto"/>
        <w:bottom w:val="none" w:sz="0" w:space="0" w:color="auto"/>
        <w:right w:val="none" w:sz="0" w:space="0" w:color="auto"/>
      </w:divBdr>
    </w:div>
    <w:div w:id="19974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ftcollegeedu-my.sharepoint.com/:w:/g/personal/xli_taftcollege_edu/EdeB4TR9PBhKgsoyDXMPFXoBXMwCvQzNb6JB3-UKd9BsBQ?e=nXSF4I" TargetMode="External"/><Relationship Id="rId18" Type="http://schemas.openxmlformats.org/officeDocument/2006/relationships/hyperlink" Target="https://www.ccamdirectors.org/mesa_student_leadership_retrea.php" TargetMode="External"/><Relationship Id="rId26" Type="http://schemas.openxmlformats.org/officeDocument/2006/relationships/hyperlink" Target="https://www.taftcollege.edu/committees/academic-senate/_files/2025/apr-07_whole/2025_04_07%20AS%20Minutes_approved.docx" TargetMode="External"/><Relationship Id="rId39" Type="http://schemas.openxmlformats.org/officeDocument/2006/relationships/image" Target="media/image3.png"/><Relationship Id="rId21" Type="http://schemas.openxmlformats.org/officeDocument/2006/relationships/hyperlink" Target="https://www.taftcollege.edu/about/campus-leadership/board-of-trustees/_files/docs/agendas-minutes/2022/November-9-2022-Regular-Board-Packet.pdf" TargetMode="External"/><Relationship Id="rId34" Type="http://schemas.openxmlformats.org/officeDocument/2006/relationships/hyperlink" Target="https://taftcollegeedu-my.sharepoint.com/:x:/g/personal/xli_taftcollege_edu/EezDYEO_7uVCgT84BHaGuMAB0J0aTT0eeY9O2GmDsn01Pg?e=n2mqgO" TargetMode="External"/><Relationship Id="rId42" Type="http://schemas.openxmlformats.org/officeDocument/2006/relationships/image" Target="media/image6.png"/><Relationship Id="rId47" Type="http://schemas.openxmlformats.org/officeDocument/2006/relationships/hyperlink" Target="https://worldpopulationreview.com/us-cities/california/taft"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cnas.org/hubfs/2024%20conference%20by%20the%20numbers_final.pdf" TargetMode="External"/><Relationship Id="rId29" Type="http://schemas.openxmlformats.org/officeDocument/2006/relationships/image" Target="media/image2.png"/><Relationship Id="rId11" Type="http://schemas.openxmlformats.org/officeDocument/2006/relationships/image" Target="media/image1.png"/><Relationship Id="rId24" Type="http://schemas.openxmlformats.org/officeDocument/2006/relationships/hyperlink" Target="https://www.taftcollege.edu/committees/information-technology/agenda-minutes/2024/november-22.php" TargetMode="External"/><Relationship Id="rId32" Type="http://schemas.openxmlformats.org/officeDocument/2006/relationships/hyperlink" Target="https://taftcollegeedu-my.sharepoint.com/:b:/g/personal/xli_taftcollege_edu/ER85nTgM5UZLnWvlyg3fm8kBLYqVpg-RpbtIl4gKpTnJtQ?e=RcOguG" TargetMode="External"/><Relationship Id="rId37" Type="http://schemas.openxmlformats.org/officeDocument/2006/relationships/hyperlink" Target="https://www.taftcollege.edu/about/campus-leadership/board-of-trustees/_files/docs/agendas-minutes/10.%204-9-25%20Minutes.pdf" TargetMode="External"/><Relationship Id="rId40" Type="http://schemas.openxmlformats.org/officeDocument/2006/relationships/image" Target="media/image4.png"/><Relationship Id="rId45" Type="http://schemas.openxmlformats.org/officeDocument/2006/relationships/hyperlink" Target="https://www.taftcollege.edu/about/offices-departments/institutional-research-planning/documents.php" TargetMode="External"/><Relationship Id="rId5" Type="http://schemas.openxmlformats.org/officeDocument/2006/relationships/numbering" Target="numbering.xml"/><Relationship Id="rId15" Type="http://schemas.openxmlformats.org/officeDocument/2006/relationships/hyperlink" Target="https://shpe.org/wp-content/uploads/2025/02/SHPE-NC24-Wrap-Up-Report_v6-lowres-1.pdf" TargetMode="External"/><Relationship Id="rId23" Type="http://schemas.openxmlformats.org/officeDocument/2006/relationships/hyperlink" Target="https://www.taftcollege.edu/about/campus-leadership/board-of-trustees/_files/docs/agendas-minutes/2023/January-11-2023-Regular-Board-Packet.pdf" TargetMode="External"/><Relationship Id="rId28" Type="http://schemas.openxmlformats.org/officeDocument/2006/relationships/hyperlink" Target="https://www.taftcollege.edu/committees/strategic-planning/_files/2025-minutes/SPC%20Minutes%20-%202025_02_20%20Final%20Draft.docx" TargetMode="External"/><Relationship Id="rId36" Type="http://schemas.openxmlformats.org/officeDocument/2006/relationships/hyperlink" Target="file:///C:\Users\xli\Desktop\ACCJC%20-%20Midterm\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uildingbridgesconference.blogspot.com/2015/04/2015-highlights.html?m=0" TargetMode="External"/><Relationship Id="rId31" Type="http://schemas.openxmlformats.org/officeDocument/2006/relationships/hyperlink" Target="https://taftcollegeedu-my.sharepoint.com/:w:/g/personal/xli_taftcollege_edu/EY3v3yCiGzRPiUTbV1vjntQB9SBIXJkkNV81u4S0ZleQ9g?e=Vt8jId" TargetMode="External"/><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ftcollege.edu/academics/academic-divisions/math-science/mesa-program.php" TargetMode="External"/><Relationship Id="rId22" Type="http://schemas.openxmlformats.org/officeDocument/2006/relationships/hyperlink" Target="https://www.taftcollege.edu/about/campus-leadership/board-of-trustees/_files/docs/agendas-minutes/2022/May-11-2022-Regular-Board-Packet.pdf" TargetMode="External"/><Relationship Id="rId27" Type="http://schemas.openxmlformats.org/officeDocument/2006/relationships/hyperlink" Target="https://www.taftcollege.edu/committees/governance-council/_files/2025/minutes/5-15-25%20GC%20Minutes.docx" TargetMode="External"/><Relationship Id="rId30" Type="http://schemas.openxmlformats.org/officeDocument/2006/relationships/hyperlink" Target="https://taftcollegeedu-my.sharepoint.com/:w:/g/personal/xli_taftcollege_edu/ESmqU1nlEoVMj_0LOuUF20kBnuXZ36dZSoFl2Gyh96vaZA?e=yTF62w" TargetMode="External"/><Relationship Id="rId35" Type="http://schemas.openxmlformats.org/officeDocument/2006/relationships/hyperlink" Target="https://taftcollegeedu-my.sharepoint.com/:p:/g/personal/xli_taftcollege_edu/Ec3k0naJ395Mhtzd-dJjzW8BeujO4A7FcnXHoa_UG2CHpA?e=as5EhD" TargetMode="External"/><Relationship Id="rId43" Type="http://schemas.openxmlformats.org/officeDocument/2006/relationships/image" Target="media/image7.png"/><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aftcollegeedu-my.sharepoint.com/:b:/g/personal/xli_taftcollege_edu/ESvmOMl_R1pLk_RoeyN_OfMBTvULeKadCjLpoNknwxwCjg?e=IzDhA5" TargetMode="External"/><Relationship Id="rId17" Type="http://schemas.openxmlformats.org/officeDocument/2006/relationships/hyperlink" Target="https://www.disneycampus.com/programs/science-technology/" TargetMode="External"/><Relationship Id="rId25" Type="http://schemas.openxmlformats.org/officeDocument/2006/relationships/hyperlink" Target="https://www.taftcollege.edu/committees/strategic-planning/_files/2025-minutes/SPC%20Minutes%20-%202025_02_20%20Final%20Draft.docx" TargetMode="External"/><Relationship Id="rId33" Type="http://schemas.openxmlformats.org/officeDocument/2006/relationships/hyperlink" Target="https://taftcollegeedu-my.sharepoint.com/:b:/g/personal/xli_taftcollege_edu/ETgq-w8rRp9Gk0obdwdcBS0B3MzEttPTKzO_tsZJHC5XHw?e=9UfMWM" TargetMode="External"/><Relationship Id="rId38" Type="http://schemas.openxmlformats.org/officeDocument/2006/relationships/hyperlink" Target="https://taftcollegeedu-my.sharepoint.com/:x:/g/personal/xli_taftcollege_edu/EY2c3DQQAFFKouje4XBp1j4BmjGGv_nSDcBnW2om4mk-ww?e=qM31t5" TargetMode="External"/><Relationship Id="rId46" Type="http://schemas.openxmlformats.org/officeDocument/2006/relationships/hyperlink" Target="https://www.taftcollege.edu/academics/resources/oer/index.php" TargetMode="External"/><Relationship Id="rId20" Type="http://schemas.openxmlformats.org/officeDocument/2006/relationships/hyperlink" Target="https://taftcollege.diligent.community/portal/"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6158BE1BA7A4DA2F485D0E79C0526" ma:contentTypeVersion="11" ma:contentTypeDescription="Create a new document." ma:contentTypeScope="" ma:versionID="49798bec3b425f39eacc94e37e7d48ac">
  <xsd:schema xmlns:xsd="http://www.w3.org/2001/XMLSchema" xmlns:xs="http://www.w3.org/2001/XMLSchema" xmlns:p="http://schemas.microsoft.com/office/2006/metadata/properties" xmlns:ns2="50587fa1-71fa-4a0d-8cce-9bf00eb04fc2" xmlns:ns3="09dc1077-f066-453e-99fc-d79fbac47551" targetNamespace="http://schemas.microsoft.com/office/2006/metadata/properties" ma:root="true" ma:fieldsID="47331a57c2d9b44304c124b52f4613cd" ns2:_="" ns3:_="">
    <xsd:import namespace="50587fa1-71fa-4a0d-8cce-9bf00eb04fc2"/>
    <xsd:import namespace="09dc1077-f066-453e-99fc-d79fbac47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87fa1-71fa-4a0d-8cce-9bf00eb04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2cfd17-9972-4448-80ff-456a3055cb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c1077-f066-453e-99fc-d79fbac47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af12ce-fa59-4aab-8f98-6f303cb09b52}" ma:internalName="TaxCatchAll" ma:showField="CatchAllData" ma:web="09dc1077-f066-453e-99fc-d79fbac47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dc1077-f066-453e-99fc-d79fbac47551" xsi:nil="true"/>
    <lcf76f155ced4ddcb4097134ff3c332f xmlns="50587fa1-71fa-4a0d-8cce-9bf00eb04f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5FC8-A1DB-4611-B2FB-9D7F9FA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87fa1-71fa-4a0d-8cce-9bf00eb04fc2"/>
    <ds:schemaRef ds:uri="09dc1077-f066-453e-99fc-d79fbac47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C0AAD-D136-42D2-AFAA-E92E4061080E}">
  <ds:schemaRefs>
    <ds:schemaRef ds:uri="http://schemas.microsoft.com/office/2006/metadata/properties"/>
    <ds:schemaRef ds:uri="http://schemas.microsoft.com/office/infopath/2007/PartnerControls"/>
    <ds:schemaRef ds:uri="09dc1077-f066-453e-99fc-d79fbac47551"/>
    <ds:schemaRef ds:uri="50587fa1-71fa-4a0d-8cce-9bf00eb04fc2"/>
  </ds:schemaRefs>
</ds:datastoreItem>
</file>

<file path=customXml/itemProps3.xml><?xml version="1.0" encoding="utf-8"?>
<ds:datastoreItem xmlns:ds="http://schemas.openxmlformats.org/officeDocument/2006/customXml" ds:itemID="{6820FAB6-6F26-4CA1-85CD-F965F8E80E9B}">
  <ds:schemaRefs>
    <ds:schemaRef ds:uri="http://schemas.microsoft.com/sharepoint/v3/contenttype/forms"/>
  </ds:schemaRefs>
</ds:datastoreItem>
</file>

<file path=customXml/itemProps4.xml><?xml version="1.0" encoding="utf-8"?>
<ds:datastoreItem xmlns:ds="http://schemas.openxmlformats.org/officeDocument/2006/customXml" ds:itemID="{A85FD3CF-1670-984F-B3F9-8ACC3274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6472</Words>
  <Characters>36896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Momjian</dc:creator>
  <cp:keywords/>
  <dc:description/>
  <cp:lastModifiedBy>Michelle A. Beasley</cp:lastModifiedBy>
  <cp:revision>2</cp:revision>
  <cp:lastPrinted>2021-08-17T22:35:00Z</cp:lastPrinted>
  <dcterms:created xsi:type="dcterms:W3CDTF">2025-09-17T15:44:00Z</dcterms:created>
  <dcterms:modified xsi:type="dcterms:W3CDTF">2025-09-17T15:44:00Z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0x01010053C6158BE1BA7A4DA2F485D0E79C0526</vt:lpwstr>
  </property>
  <property fmtid="{D5CDD505-2E9C-101B-9397-08002B2CF9AE}" pid="3" name="MediaServiceImageTags">
    <vt:lpwstr/>
  </property>
  <property fmtid="{D5CDD505-2E9C-101B-9397-08002B2CF9AE}" pid="4" name="GrammarlyDocumentId">
    <vt:lpwstr>5a3f44a6-7b57-4fd9-996d-9332b53f3f98</vt:lpwstr>
  </property>
</Properties>
</file>