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67AE3D52" w:rsidR="00D72DC1" w:rsidRPr="00AA52AB" w:rsidRDefault="00795611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March</w:t>
      </w:r>
      <w:r w:rsidR="003E0899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1</w:t>
      </w:r>
      <w:r w:rsidR="0056782A">
        <w:rPr>
          <w:rFonts w:ascii="Book Antiqua" w:hAnsi="Book Antiqua"/>
          <w:b/>
          <w:bCs/>
          <w:sz w:val="22"/>
          <w:szCs w:val="22"/>
        </w:rPr>
        <w:t>, 202</w:t>
      </w:r>
      <w:r w:rsidR="003E0899">
        <w:rPr>
          <w:rFonts w:ascii="Book Antiqua" w:hAnsi="Book Antiqua"/>
          <w:b/>
          <w:bCs/>
          <w:sz w:val="22"/>
          <w:szCs w:val="22"/>
        </w:rPr>
        <w:t>4</w:t>
      </w:r>
    </w:p>
    <w:p w14:paraId="5DF7C2E0" w14:textId="3DCBB5A4" w:rsidR="00EE473A" w:rsidRPr="00D852BF" w:rsidRDefault="00533F1B" w:rsidP="00D852BF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2:</w:t>
      </w:r>
      <w:r w:rsidR="003E0899">
        <w:rPr>
          <w:rFonts w:ascii="Book Antiqua" w:hAnsi="Book Antiqua"/>
          <w:b/>
          <w:bCs/>
        </w:rPr>
        <w:t>00</w:t>
      </w:r>
      <w:r>
        <w:rPr>
          <w:rFonts w:ascii="Book Antiqua" w:hAnsi="Book Antiqua"/>
          <w:b/>
          <w:bCs/>
        </w:rPr>
        <w:t xml:space="preserve"> p.m. – </w:t>
      </w:r>
      <w:r w:rsidR="003E0899">
        <w:rPr>
          <w:rFonts w:ascii="Book Antiqua" w:hAnsi="Book Antiqua"/>
          <w:b/>
          <w:bCs/>
        </w:rPr>
        <w:t>3:30</w:t>
      </w:r>
      <w:r>
        <w:rPr>
          <w:rFonts w:ascii="Book Antiqua" w:hAnsi="Book Antiqua"/>
          <w:b/>
          <w:bCs/>
        </w:rPr>
        <w:t xml:space="preserve"> p.m.</w:t>
      </w:r>
      <w:r w:rsidR="007C45CC">
        <w:rPr>
          <w:rFonts w:ascii="Book Antiqua" w:hAnsi="Book Antiqua"/>
          <w:b/>
          <w:bCs/>
        </w:rPr>
        <w:t xml:space="preserve"> </w:t>
      </w:r>
      <w:r w:rsidR="00D852BF">
        <w:rPr>
          <w:rFonts w:ascii="Book Antiqua" w:hAnsi="Book Antiqua"/>
          <w:b/>
          <w:bCs/>
        </w:rPr>
        <w:br/>
      </w:r>
      <w:r w:rsidR="00D22038">
        <w:rPr>
          <w:rFonts w:ascii="Book Antiqua" w:hAnsi="Book Antiqua"/>
          <w:b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6BC140A" w14:textId="07FDC31D" w:rsidR="00770FBF" w:rsidRPr="00AA52AB" w:rsidRDefault="00D317D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F477E3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>Xiaohong Li,</w:t>
      </w:r>
      <w:r w:rsidR="00057711">
        <w:rPr>
          <w:rFonts w:ascii="Book Antiqua" w:hAnsi="Book Antiqua"/>
          <w:bCs/>
          <w:sz w:val="22"/>
          <w:szCs w:val="22"/>
        </w:rPr>
        <w:t xml:space="preserve"> </w:t>
      </w:r>
      <w:r w:rsidR="003E0899">
        <w:rPr>
          <w:rFonts w:ascii="Book Antiqua" w:hAnsi="Book Antiqua"/>
          <w:bCs/>
          <w:sz w:val="22"/>
          <w:szCs w:val="22"/>
        </w:rPr>
        <w:t xml:space="preserve">Nick Valsamides, </w:t>
      </w:r>
      <w:r w:rsidR="00AF0252">
        <w:rPr>
          <w:rFonts w:ascii="Book Antiqua" w:hAnsi="Book Antiqua"/>
          <w:bCs/>
          <w:sz w:val="22"/>
          <w:szCs w:val="22"/>
        </w:rPr>
        <w:t>Leslie Minor, Sharyn Eveland</w:t>
      </w:r>
      <w:r w:rsidR="00795611">
        <w:rPr>
          <w:rFonts w:ascii="Book Antiqua" w:hAnsi="Book Antiqua"/>
          <w:bCs/>
          <w:sz w:val="22"/>
          <w:szCs w:val="22"/>
        </w:rPr>
        <w:t>, Paul Blake, Damon Bell</w:t>
      </w:r>
      <w:r w:rsidR="00AF0252">
        <w:rPr>
          <w:rFonts w:ascii="Book Antiqua" w:hAnsi="Book Antiqua"/>
          <w:bCs/>
          <w:sz w:val="22"/>
          <w:szCs w:val="22"/>
        </w:rPr>
        <w:t xml:space="preserve"> </w:t>
      </w:r>
    </w:p>
    <w:p w14:paraId="3DD820FF" w14:textId="77777777" w:rsidR="00AF0252" w:rsidRDefault="00AF0252" w:rsidP="00AF0252">
      <w:pPr>
        <w:pStyle w:val="Default"/>
        <w:ind w:left="900" w:right="-360" w:hanging="900"/>
        <w:rPr>
          <w:rFonts w:ascii="Book Antiqua" w:hAnsi="Book Antiqua"/>
          <w:b/>
          <w:bCs/>
          <w:sz w:val="22"/>
          <w:szCs w:val="22"/>
        </w:rPr>
      </w:pPr>
    </w:p>
    <w:p w14:paraId="0CCF38DC" w14:textId="7EBFB35D" w:rsidR="00630EA5" w:rsidRDefault="0020004C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D852BF">
        <w:rPr>
          <w:rFonts w:ascii="Book Antiqua" w:hAnsi="Book Antiqua"/>
          <w:bCs/>
          <w:sz w:val="22"/>
          <w:szCs w:val="22"/>
        </w:rPr>
        <w:t xml:space="preserve"> </w:t>
      </w:r>
      <w:r w:rsidR="003E0899">
        <w:rPr>
          <w:rFonts w:ascii="Book Antiqua" w:hAnsi="Book Antiqua"/>
          <w:bCs/>
          <w:sz w:val="22"/>
          <w:szCs w:val="22"/>
        </w:rPr>
        <w:t xml:space="preserve">Amar Abbott, </w:t>
      </w:r>
      <w:r w:rsidR="00795611">
        <w:rPr>
          <w:rFonts w:ascii="Book Antiqua" w:hAnsi="Book Antiqua"/>
          <w:bCs/>
          <w:sz w:val="22"/>
          <w:szCs w:val="22"/>
        </w:rPr>
        <w:t>Tina Mendoza, Vicki Jacobi</w:t>
      </w:r>
      <w:r w:rsidR="00AF0252">
        <w:rPr>
          <w:rFonts w:ascii="Book Antiqua" w:hAnsi="Book Antiqua"/>
          <w:bCs/>
          <w:sz w:val="22"/>
          <w:szCs w:val="22"/>
        </w:rPr>
        <w:t>,</w:t>
      </w:r>
      <w:r w:rsidR="003E0899" w:rsidRPr="003E0899">
        <w:rPr>
          <w:rFonts w:ascii="Book Antiqua" w:hAnsi="Book Antiqua"/>
          <w:bCs/>
          <w:sz w:val="22"/>
          <w:szCs w:val="22"/>
        </w:rPr>
        <w:t xml:space="preserve"> </w:t>
      </w:r>
      <w:r w:rsidR="003E0899">
        <w:rPr>
          <w:rFonts w:ascii="Book Antiqua" w:hAnsi="Book Antiqua"/>
          <w:bCs/>
          <w:sz w:val="22"/>
          <w:szCs w:val="22"/>
        </w:rPr>
        <w:t>Rafael Andrade,</w:t>
      </w:r>
      <w:r w:rsidR="00AF0252">
        <w:rPr>
          <w:rFonts w:ascii="Book Antiqua" w:hAnsi="Book Antiqua"/>
          <w:bCs/>
          <w:sz w:val="22"/>
          <w:szCs w:val="22"/>
        </w:rPr>
        <w:t xml:space="preserve"> </w:t>
      </w:r>
      <w:r w:rsidR="00450544">
        <w:rPr>
          <w:rFonts w:ascii="Book Antiqua" w:hAnsi="Book Antiqua"/>
          <w:bCs/>
          <w:sz w:val="22"/>
          <w:szCs w:val="22"/>
        </w:rPr>
        <w:t xml:space="preserve">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0AFAE6DA" w14:textId="77777777" w:rsidR="00795611" w:rsidRDefault="00795611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2C1D2BC0" w14:textId="4D422638" w:rsidR="00795611" w:rsidRPr="00795611" w:rsidRDefault="00795611" w:rsidP="00AF0252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Guests: </w:t>
      </w:r>
      <w:r>
        <w:rPr>
          <w:rFonts w:ascii="Book Antiqua" w:hAnsi="Book Antiqua"/>
          <w:bCs/>
          <w:sz w:val="22"/>
          <w:szCs w:val="22"/>
        </w:rPr>
        <w:t>Krystal Allikas and Jennifer Altenhofel</w:t>
      </w:r>
    </w:p>
    <w:p w14:paraId="1276114E" w14:textId="3A31351C" w:rsidR="00770FBF" w:rsidRDefault="009F4F82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</w:p>
    <w:p w14:paraId="3F1B7A6A" w14:textId="7404AA06" w:rsidR="00795611" w:rsidRPr="00795611" w:rsidRDefault="00795611" w:rsidP="00795611">
      <w:pPr>
        <w:pStyle w:val="Default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Approve the Minutes for:</w:t>
      </w:r>
    </w:p>
    <w:p w14:paraId="1C33FC11" w14:textId="77777777" w:rsidR="00795611" w:rsidRDefault="00795611" w:rsidP="00795611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October 20, 2023</w:t>
      </w:r>
    </w:p>
    <w:p w14:paraId="1159DD90" w14:textId="77777777" w:rsidR="00795611" w:rsidRDefault="00795611" w:rsidP="00795611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November 17, 2023</w:t>
      </w:r>
    </w:p>
    <w:p w14:paraId="3F95986E" w14:textId="77777777" w:rsidR="00795611" w:rsidRDefault="00795611" w:rsidP="00795611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February 2, 2024</w:t>
      </w:r>
    </w:p>
    <w:p w14:paraId="5BAEA96B" w14:textId="77777777" w:rsidR="00795611" w:rsidRDefault="00795611" w:rsidP="00795611">
      <w:pPr>
        <w:pStyle w:val="Default"/>
        <w:rPr>
          <w:rFonts w:ascii="Book Antiqua" w:hAnsi="Book Antiqua"/>
          <w:szCs w:val="22"/>
        </w:rPr>
      </w:pPr>
    </w:p>
    <w:p w14:paraId="48C5ACFD" w14:textId="77B048A0" w:rsidR="00795611" w:rsidRDefault="00795611" w:rsidP="00795611">
      <w:pPr>
        <w:pStyle w:val="Defaul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All minutes were approved with no changes. </w:t>
      </w:r>
    </w:p>
    <w:p w14:paraId="47DC28CD" w14:textId="77777777" w:rsidR="00795611" w:rsidRDefault="00795611" w:rsidP="00795611">
      <w:pPr>
        <w:pStyle w:val="Default"/>
        <w:rPr>
          <w:rFonts w:ascii="Book Antiqua" w:hAnsi="Book Antiqua"/>
          <w:szCs w:val="22"/>
        </w:rPr>
      </w:pPr>
    </w:p>
    <w:p w14:paraId="400794B5" w14:textId="188F0A0F" w:rsidR="00795611" w:rsidRDefault="00795611" w:rsidP="00795611">
      <w:pPr>
        <w:pStyle w:val="Default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OER Presentation – Jennifer Altenhofel</w:t>
      </w:r>
    </w:p>
    <w:p w14:paraId="0012DB96" w14:textId="77777777" w:rsidR="00795611" w:rsidRDefault="00795611" w:rsidP="00795611">
      <w:pPr>
        <w:pStyle w:val="Default"/>
        <w:rPr>
          <w:rFonts w:ascii="Book Antiqua" w:hAnsi="Book Antiqua"/>
          <w:b/>
          <w:bCs/>
          <w:szCs w:val="22"/>
          <w:u w:val="single"/>
        </w:rPr>
      </w:pPr>
    </w:p>
    <w:p w14:paraId="0C38E965" w14:textId="58497D93" w:rsidR="00795611" w:rsidRDefault="00795611" w:rsidP="00795611">
      <w:pPr>
        <w:pStyle w:val="Defaul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Jennifer Altenhofel presented the Strategic Plan for Open Educational Resources at Taft College. This plan, upon approval, will serve as the framework for utilizing various grant funds</w:t>
      </w:r>
      <w:r w:rsidR="00E87D37">
        <w:rPr>
          <w:rFonts w:ascii="Book Antiqua" w:hAnsi="Book Antiqua"/>
          <w:szCs w:val="22"/>
        </w:rPr>
        <w:t xml:space="preserve"> supporting OER.</w:t>
      </w:r>
      <w:r>
        <w:rPr>
          <w:rFonts w:ascii="Book Antiqua" w:hAnsi="Book Antiqua"/>
          <w:szCs w:val="22"/>
        </w:rPr>
        <w:t xml:space="preserve"> The plan will be shared with the Governance Council and Academic Senate </w:t>
      </w:r>
      <w:r w:rsidR="00E87D37">
        <w:rPr>
          <w:rFonts w:ascii="Book Antiqua" w:hAnsi="Book Antiqua"/>
          <w:szCs w:val="22"/>
        </w:rPr>
        <w:t xml:space="preserve">for feedback </w:t>
      </w:r>
      <w:r>
        <w:rPr>
          <w:rFonts w:ascii="Book Antiqua" w:hAnsi="Book Antiqua"/>
          <w:szCs w:val="22"/>
        </w:rPr>
        <w:t xml:space="preserve">before going to the Board for approval. </w:t>
      </w:r>
    </w:p>
    <w:p w14:paraId="2B29F9B6" w14:textId="77777777" w:rsidR="00795611" w:rsidRDefault="00795611" w:rsidP="00795611">
      <w:pPr>
        <w:pStyle w:val="Default"/>
        <w:rPr>
          <w:rFonts w:ascii="Book Antiqua" w:hAnsi="Book Antiqua"/>
          <w:szCs w:val="22"/>
        </w:rPr>
      </w:pPr>
    </w:p>
    <w:p w14:paraId="1045E4F0" w14:textId="08BEF258" w:rsidR="00795611" w:rsidRDefault="00795611" w:rsidP="00795611">
      <w:pPr>
        <w:pStyle w:val="Default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Strategic Action Plan Data Update – Presentation and Dashboard Review</w:t>
      </w:r>
    </w:p>
    <w:p w14:paraId="2E718FBC" w14:textId="77777777" w:rsidR="00795611" w:rsidRDefault="00795611" w:rsidP="00795611">
      <w:pPr>
        <w:pStyle w:val="Default"/>
        <w:rPr>
          <w:rFonts w:ascii="Book Antiqua" w:hAnsi="Book Antiqua"/>
          <w:b/>
          <w:bCs/>
          <w:szCs w:val="22"/>
          <w:u w:val="single"/>
        </w:rPr>
      </w:pPr>
    </w:p>
    <w:p w14:paraId="0E85664C" w14:textId="1D86C858" w:rsidR="00795611" w:rsidRDefault="00E87D37" w:rsidP="00795611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Reviewed the SAP 2022-23 data/indicators.</w:t>
      </w:r>
    </w:p>
    <w:p w14:paraId="3941EC39" w14:textId="77777777" w:rsidR="00E87D37" w:rsidRDefault="00E87D37" w:rsidP="00795611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Changes</w:t>
      </w:r>
    </w:p>
    <w:p w14:paraId="66716E3A" w14:textId="5A6A40B9" w:rsidR="00E87D37" w:rsidRDefault="00E87D37" w:rsidP="00E87D37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Removed the activity column from the dashboard</w:t>
      </w:r>
    </w:p>
    <w:p w14:paraId="5EB8C16C" w14:textId="377C759A" w:rsidR="00E87D37" w:rsidRDefault="00E87D37" w:rsidP="00E87D37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Added the activities description to the body of the document</w:t>
      </w:r>
    </w:p>
    <w:p w14:paraId="7B36FF88" w14:textId="054AC527" w:rsidR="001E708D" w:rsidRDefault="00E87D37" w:rsidP="001E708D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Status of </w:t>
      </w:r>
      <w:r w:rsidR="001E708D">
        <w:rPr>
          <w:rFonts w:ascii="Book Antiqua" w:hAnsi="Book Antiqua"/>
          <w:szCs w:val="22"/>
        </w:rPr>
        <w:t>the 7 lagging indicators</w:t>
      </w:r>
    </w:p>
    <w:p w14:paraId="07FD13DE" w14:textId="7ABE0EBA" w:rsidR="001E708D" w:rsidRDefault="001E708D" w:rsidP="001E708D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4 in green </w:t>
      </w:r>
    </w:p>
    <w:p w14:paraId="191A5002" w14:textId="5A77F479" w:rsidR="001E708D" w:rsidRDefault="001E708D" w:rsidP="001E708D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 in yellow</w:t>
      </w:r>
    </w:p>
    <w:p w14:paraId="3126B09C" w14:textId="28A90F2B" w:rsidR="001E708D" w:rsidRDefault="001E708D" w:rsidP="001E708D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Equity gaps for underrepresented groups</w:t>
      </w:r>
    </w:p>
    <w:p w14:paraId="3B7D0D44" w14:textId="53F8356B" w:rsidR="001E708D" w:rsidRDefault="001E708D" w:rsidP="001E708D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2 in red</w:t>
      </w:r>
    </w:p>
    <w:p w14:paraId="381064BA" w14:textId="77777777" w:rsidR="00904343" w:rsidRDefault="001E708D" w:rsidP="001E708D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Job placement rate</w:t>
      </w:r>
    </w:p>
    <w:p w14:paraId="7606D0DB" w14:textId="07A74BB7" w:rsidR="001E708D" w:rsidRDefault="001E708D" w:rsidP="001E708D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Institutional SLO proficiency rate</w:t>
      </w:r>
    </w:p>
    <w:p w14:paraId="3DC2D5D2" w14:textId="77777777" w:rsidR="00904343" w:rsidRDefault="00904343" w:rsidP="00904343">
      <w:pPr>
        <w:pStyle w:val="Default"/>
        <w:rPr>
          <w:rFonts w:ascii="Book Antiqua" w:hAnsi="Book Antiqua"/>
          <w:szCs w:val="22"/>
        </w:rPr>
      </w:pPr>
    </w:p>
    <w:p w14:paraId="345419EA" w14:textId="7A6D1103" w:rsidR="0085531E" w:rsidRDefault="0085531E" w:rsidP="0085531E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Status of the 17 leading indicators</w:t>
      </w:r>
    </w:p>
    <w:p w14:paraId="0A03EBBE" w14:textId="180CAE17" w:rsidR="0085531E" w:rsidRDefault="0085531E" w:rsidP="0085531E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15 in green</w:t>
      </w:r>
    </w:p>
    <w:p w14:paraId="69C42014" w14:textId="14CFDA5E" w:rsidR="0085531E" w:rsidRDefault="0085531E" w:rsidP="0085531E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2 in red </w:t>
      </w:r>
    </w:p>
    <w:p w14:paraId="765E1730" w14:textId="349FD12E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CTE students who earned 9 or mor units down 6.2%</w:t>
      </w:r>
    </w:p>
    <w:p w14:paraId="1D780FD4" w14:textId="4FD292A7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lastRenderedPageBreak/>
        <w:t>FTES decreased from 1914 to 1820</w:t>
      </w:r>
    </w:p>
    <w:p w14:paraId="2564245E" w14:textId="77777777" w:rsidR="0085531E" w:rsidRDefault="0085531E" w:rsidP="0085531E">
      <w:pPr>
        <w:pStyle w:val="Default"/>
        <w:rPr>
          <w:rFonts w:ascii="Book Antiqua" w:hAnsi="Book Antiqua"/>
          <w:szCs w:val="22"/>
        </w:rPr>
      </w:pPr>
    </w:p>
    <w:p w14:paraId="18A15E7C" w14:textId="15D01FF6" w:rsidR="0085531E" w:rsidRDefault="0085531E" w:rsidP="0085531E">
      <w:pPr>
        <w:pStyle w:val="Default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Evaluation of Effectiveness of Program Review Based Resource Allocation</w:t>
      </w:r>
    </w:p>
    <w:p w14:paraId="4021B3E8" w14:textId="60397662" w:rsidR="0085531E" w:rsidRDefault="0085531E" w:rsidP="0085531E">
      <w:pPr>
        <w:pStyle w:val="Default"/>
        <w:rPr>
          <w:rFonts w:ascii="Book Antiqua" w:hAnsi="Book Antiqua"/>
          <w:szCs w:val="22"/>
        </w:rPr>
      </w:pPr>
    </w:p>
    <w:p w14:paraId="1272F4E4" w14:textId="06FE5A38" w:rsidR="0085531E" w:rsidRDefault="0085531E" w:rsidP="0085531E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Summary </w:t>
      </w:r>
    </w:p>
    <w:p w14:paraId="022C4F06" w14:textId="7C1246EC" w:rsidR="0085531E" w:rsidRDefault="0085531E" w:rsidP="0085531E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Received a total of 51 goal forms for 2022-23</w:t>
      </w:r>
    </w:p>
    <w:p w14:paraId="48FF85BC" w14:textId="694254C4" w:rsidR="0085531E" w:rsidRDefault="0085531E" w:rsidP="0085531E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Funded or partially funded (17 goals)</w:t>
      </w:r>
    </w:p>
    <w:p w14:paraId="09E9FE88" w14:textId="752992A7" w:rsidR="0085531E" w:rsidRDefault="0085531E" w:rsidP="0085531E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Project area: </w:t>
      </w:r>
    </w:p>
    <w:p w14:paraId="3A4181E5" w14:textId="1B3605D6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Academic: 4</w:t>
      </w:r>
    </w:p>
    <w:p w14:paraId="29F4E922" w14:textId="028AB431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Facilities: 1</w:t>
      </w:r>
    </w:p>
    <w:p w14:paraId="70FFEC45" w14:textId="3FA352CE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Information Technology: 8 </w:t>
      </w:r>
    </w:p>
    <w:p w14:paraId="01F37F0F" w14:textId="77AC764F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Athletics: 3</w:t>
      </w:r>
    </w:p>
    <w:p w14:paraId="6AC6EB6B" w14:textId="475E819E" w:rsidR="0085531E" w:rsidRDefault="0085531E" w:rsidP="0085531E">
      <w:pPr>
        <w:pStyle w:val="Default"/>
        <w:numPr>
          <w:ilvl w:val="1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Funding Sources</w:t>
      </w:r>
    </w:p>
    <w:p w14:paraId="6F6DF9FF" w14:textId="7DD97A4E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COVID/HEERF: 8</w:t>
      </w:r>
    </w:p>
    <w:p w14:paraId="75719FD2" w14:textId="7298B28E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General Fund: 3</w:t>
      </w:r>
    </w:p>
    <w:p w14:paraId="102BE77F" w14:textId="4D9DC6A2" w:rsidR="0085531E" w:rsidRDefault="0085531E" w:rsidP="0085531E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State IT Security fund: 2</w:t>
      </w:r>
    </w:p>
    <w:p w14:paraId="27AD18C5" w14:textId="0A18F486" w:rsidR="0085531E" w:rsidRDefault="0085531E" w:rsidP="00904343">
      <w:pPr>
        <w:pStyle w:val="Default"/>
        <w:numPr>
          <w:ilvl w:val="2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Other (Grant, Foundation): 4</w:t>
      </w:r>
    </w:p>
    <w:p w14:paraId="3881168D" w14:textId="688FA4C7" w:rsidR="00904343" w:rsidRDefault="00904343" w:rsidP="00904343">
      <w:pPr>
        <w:pStyle w:val="Default"/>
        <w:numPr>
          <w:ilvl w:val="0"/>
          <w:numId w:val="2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The goals that have been funded are long term. The total impact is yet to be determined. Future analysis will be provided in upcoming Comprehensive Program Review reports. </w:t>
      </w:r>
    </w:p>
    <w:p w14:paraId="54573796" w14:textId="77777777" w:rsidR="00904343" w:rsidRDefault="00904343" w:rsidP="00904343">
      <w:pPr>
        <w:pStyle w:val="Default"/>
        <w:rPr>
          <w:rFonts w:ascii="Book Antiqua" w:hAnsi="Book Antiqua"/>
          <w:szCs w:val="22"/>
        </w:rPr>
      </w:pPr>
    </w:p>
    <w:p w14:paraId="5B063B57" w14:textId="75E00E97" w:rsidR="00904343" w:rsidRDefault="00904343" w:rsidP="00904343">
      <w:pPr>
        <w:pStyle w:val="Default"/>
        <w:rPr>
          <w:rFonts w:ascii="Book Antiqua" w:hAnsi="Book Antiqua"/>
          <w:b/>
          <w:bCs/>
          <w:szCs w:val="22"/>
          <w:u w:val="single"/>
        </w:rPr>
      </w:pPr>
      <w:r>
        <w:rPr>
          <w:rFonts w:ascii="Book Antiqua" w:hAnsi="Book Antiqua"/>
          <w:b/>
          <w:bCs/>
          <w:szCs w:val="22"/>
          <w:u w:val="single"/>
        </w:rPr>
        <w:t>Program Review Update</w:t>
      </w:r>
    </w:p>
    <w:p w14:paraId="2AEDE333" w14:textId="77777777" w:rsidR="00904343" w:rsidRDefault="00904343" w:rsidP="00904343">
      <w:pPr>
        <w:pStyle w:val="Default"/>
        <w:rPr>
          <w:rFonts w:ascii="Book Antiqua" w:hAnsi="Book Antiqua"/>
          <w:b/>
          <w:bCs/>
          <w:szCs w:val="22"/>
          <w:u w:val="single"/>
        </w:rPr>
      </w:pPr>
    </w:p>
    <w:p w14:paraId="2C2F24E3" w14:textId="1DA78C68" w:rsidR="00904343" w:rsidRPr="00904343" w:rsidRDefault="00904343" w:rsidP="00904343">
      <w:pPr>
        <w:pStyle w:val="Defaul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This agenda item was not discussed. </w:t>
      </w:r>
    </w:p>
    <w:p w14:paraId="68C281C4" w14:textId="170D923B" w:rsidR="00292305" w:rsidRPr="00292305" w:rsidRDefault="00292305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0603B1DB" w14:textId="2E04D1B1" w:rsidR="005F5159" w:rsidRDefault="00FF1CE7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Next Meeting: </w:t>
      </w:r>
      <w:r w:rsidR="00904343">
        <w:rPr>
          <w:rFonts w:ascii="Book Antiqua" w:hAnsi="Book Antiqua"/>
          <w:b/>
          <w:sz w:val="22"/>
          <w:szCs w:val="22"/>
          <w:u w:val="single"/>
        </w:rPr>
        <w:t>April</w:t>
      </w:r>
      <w:r w:rsidR="003875E3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904343">
        <w:rPr>
          <w:rFonts w:ascii="Book Antiqua" w:hAnsi="Book Antiqua"/>
          <w:b/>
          <w:sz w:val="22"/>
          <w:szCs w:val="22"/>
          <w:u w:val="single"/>
        </w:rPr>
        <w:t>5</w:t>
      </w:r>
      <w:r w:rsidR="003875E3">
        <w:rPr>
          <w:rFonts w:ascii="Book Antiqua" w:hAnsi="Book Antiqua"/>
          <w:b/>
          <w:sz w:val="22"/>
          <w:szCs w:val="22"/>
          <w:u w:val="single"/>
        </w:rPr>
        <w:t>, 2024, at 2:00 p.m. in the Cougar Room</w:t>
      </w:r>
    </w:p>
    <w:p w14:paraId="3E83ADF5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37BE48BA" w14:textId="77777777" w:rsidR="005F5159" w:rsidRDefault="005F5159" w:rsidP="00AE3EC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A56C90B" w14:textId="5B1D86B5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F4123C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D33F9" w:rsidRPr="004D33F9" w:rsidSect="00691A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46CE" w14:textId="77777777" w:rsidR="0049441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</w:t>
    </w:r>
    <w:r w:rsidR="0049441E">
      <w:rPr>
        <w:rFonts w:ascii="Book Antiqua" w:hAnsi="Book Antiqua"/>
      </w:rPr>
      <w:t>ee</w:t>
    </w:r>
  </w:p>
  <w:p w14:paraId="28CA747B" w14:textId="360577D2" w:rsidR="00C460D8" w:rsidRPr="00A244EE" w:rsidRDefault="0094768F">
    <w:pPr>
      <w:pStyle w:val="Header"/>
      <w:rPr>
        <w:rFonts w:ascii="Book Antiqua" w:hAnsi="Book Antiqua"/>
      </w:rPr>
    </w:pPr>
    <w:r>
      <w:rPr>
        <w:rFonts w:ascii="Book Antiqua" w:hAnsi="Book Antiqua"/>
      </w:rPr>
      <w:t>M</w:t>
    </w:r>
    <w:r w:rsidR="00904343">
      <w:rPr>
        <w:rFonts w:ascii="Book Antiqua" w:hAnsi="Book Antiqua"/>
      </w:rPr>
      <w:t>arch</w:t>
    </w:r>
    <w:r>
      <w:rPr>
        <w:rFonts w:ascii="Book Antiqua" w:hAnsi="Book Antiqua"/>
      </w:rPr>
      <w:t xml:space="preserve"> </w:t>
    </w:r>
    <w:r w:rsidR="00904343">
      <w:rPr>
        <w:rFonts w:ascii="Book Antiqua" w:hAnsi="Book Antiqua"/>
      </w:rPr>
      <w:t>1</w:t>
    </w:r>
    <w:r w:rsidR="006E162F">
      <w:rPr>
        <w:rFonts w:ascii="Book Antiqua" w:hAnsi="Book Antiqua"/>
      </w:rPr>
      <w:t>, 202</w:t>
    </w:r>
    <w:r w:rsidR="00904343">
      <w:rPr>
        <w:rFonts w:ascii="Book Antiqua" w:hAnsi="Book Antiqua"/>
      </w:rPr>
      <w:t>4</w:t>
    </w:r>
  </w:p>
  <w:p w14:paraId="79E350F2" w14:textId="77777777" w:rsidR="00C460D8" w:rsidRDefault="00C4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A9C8" w14:textId="087D7CCA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5" name="Picture 5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64E"/>
    <w:multiLevelType w:val="hybridMultilevel"/>
    <w:tmpl w:val="DCB0E928"/>
    <w:lvl w:ilvl="0" w:tplc="73388E2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80A"/>
    <w:multiLevelType w:val="hybridMultilevel"/>
    <w:tmpl w:val="52E0D0E6"/>
    <w:lvl w:ilvl="0" w:tplc="698C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126F"/>
    <w:multiLevelType w:val="hybridMultilevel"/>
    <w:tmpl w:val="C0E49692"/>
    <w:lvl w:ilvl="0" w:tplc="E370F2B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654E"/>
    <w:multiLevelType w:val="hybridMultilevel"/>
    <w:tmpl w:val="6ABAF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970AA"/>
    <w:multiLevelType w:val="hybridMultilevel"/>
    <w:tmpl w:val="68809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6F48"/>
    <w:multiLevelType w:val="hybridMultilevel"/>
    <w:tmpl w:val="63E01B62"/>
    <w:lvl w:ilvl="0" w:tplc="28C0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BB3E0F"/>
    <w:multiLevelType w:val="hybridMultilevel"/>
    <w:tmpl w:val="3F3AED40"/>
    <w:lvl w:ilvl="0" w:tplc="429259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FB46EA"/>
    <w:multiLevelType w:val="hybridMultilevel"/>
    <w:tmpl w:val="78C6D250"/>
    <w:lvl w:ilvl="0" w:tplc="1F78A932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6EED"/>
    <w:multiLevelType w:val="hybridMultilevel"/>
    <w:tmpl w:val="E916980A"/>
    <w:lvl w:ilvl="0" w:tplc="AFF8397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426742"/>
    <w:multiLevelType w:val="hybridMultilevel"/>
    <w:tmpl w:val="CD642C1C"/>
    <w:lvl w:ilvl="0" w:tplc="3392D7A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1"/>
  </w:num>
  <w:num w:numId="2" w16cid:durableId="963073962">
    <w:abstractNumId w:val="4"/>
  </w:num>
  <w:num w:numId="3" w16cid:durableId="1384330793">
    <w:abstractNumId w:val="26"/>
  </w:num>
  <w:num w:numId="4" w16cid:durableId="1302728322">
    <w:abstractNumId w:val="6"/>
  </w:num>
  <w:num w:numId="5" w16cid:durableId="2118870241">
    <w:abstractNumId w:val="12"/>
  </w:num>
  <w:num w:numId="6" w16cid:durableId="671496730">
    <w:abstractNumId w:val="13"/>
  </w:num>
  <w:num w:numId="7" w16cid:durableId="1340884708">
    <w:abstractNumId w:val="17"/>
  </w:num>
  <w:num w:numId="8" w16cid:durableId="1474908157">
    <w:abstractNumId w:val="15"/>
  </w:num>
  <w:num w:numId="9" w16cid:durableId="1660577173">
    <w:abstractNumId w:val="14"/>
  </w:num>
  <w:num w:numId="10" w16cid:durableId="1055154082">
    <w:abstractNumId w:val="24"/>
  </w:num>
  <w:num w:numId="11" w16cid:durableId="402029535">
    <w:abstractNumId w:val="10"/>
  </w:num>
  <w:num w:numId="12" w16cid:durableId="706295652">
    <w:abstractNumId w:val="25"/>
  </w:num>
  <w:num w:numId="13" w16cid:durableId="755707437">
    <w:abstractNumId w:val="9"/>
  </w:num>
  <w:num w:numId="14" w16cid:durableId="610941983">
    <w:abstractNumId w:val="5"/>
  </w:num>
  <w:num w:numId="15" w16cid:durableId="1360230886">
    <w:abstractNumId w:val="16"/>
  </w:num>
  <w:num w:numId="16" w16cid:durableId="112753446">
    <w:abstractNumId w:val="22"/>
  </w:num>
  <w:num w:numId="17" w16cid:durableId="871259919">
    <w:abstractNumId w:val="23"/>
  </w:num>
  <w:num w:numId="18" w16cid:durableId="799036092">
    <w:abstractNumId w:val="0"/>
  </w:num>
  <w:num w:numId="19" w16cid:durableId="1619676321">
    <w:abstractNumId w:val="7"/>
  </w:num>
  <w:num w:numId="20" w16cid:durableId="1141581266">
    <w:abstractNumId w:val="2"/>
  </w:num>
  <w:num w:numId="21" w16cid:durableId="1165785341">
    <w:abstractNumId w:val="21"/>
  </w:num>
  <w:num w:numId="22" w16cid:durableId="788865199">
    <w:abstractNumId w:val="18"/>
  </w:num>
  <w:num w:numId="23" w16cid:durableId="1923757717">
    <w:abstractNumId w:val="19"/>
  </w:num>
  <w:num w:numId="24" w16cid:durableId="2074935845">
    <w:abstractNumId w:val="3"/>
  </w:num>
  <w:num w:numId="25" w16cid:durableId="1196844108">
    <w:abstractNumId w:val="20"/>
  </w:num>
  <w:num w:numId="26" w16cid:durableId="1610117698">
    <w:abstractNumId w:val="8"/>
  </w:num>
  <w:num w:numId="27" w16cid:durableId="189997360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276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57711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CA2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8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4F4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23B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E708D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85D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305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1D1"/>
    <w:rsid w:val="002C02B7"/>
    <w:rsid w:val="002C0577"/>
    <w:rsid w:val="002C081C"/>
    <w:rsid w:val="002C0DEC"/>
    <w:rsid w:val="002C130D"/>
    <w:rsid w:val="002C202C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A68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875E3"/>
    <w:rsid w:val="003900FF"/>
    <w:rsid w:val="00390748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6E3A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63EB"/>
    <w:rsid w:val="003D72E7"/>
    <w:rsid w:val="003D73F2"/>
    <w:rsid w:val="003E00D7"/>
    <w:rsid w:val="003E00EE"/>
    <w:rsid w:val="003E01DA"/>
    <w:rsid w:val="003E0899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6B20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BE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37AAA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41E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3F1B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159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3A3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5E17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5611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18A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1E"/>
    <w:rsid w:val="007C10FF"/>
    <w:rsid w:val="007C16ED"/>
    <w:rsid w:val="007C1772"/>
    <w:rsid w:val="007C1AC0"/>
    <w:rsid w:val="007C205D"/>
    <w:rsid w:val="007C41F8"/>
    <w:rsid w:val="007C4425"/>
    <w:rsid w:val="007C45CC"/>
    <w:rsid w:val="007C4FA7"/>
    <w:rsid w:val="007C52F3"/>
    <w:rsid w:val="007C64C6"/>
    <w:rsid w:val="007C6964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31E"/>
    <w:rsid w:val="00855859"/>
    <w:rsid w:val="0085598E"/>
    <w:rsid w:val="0085632E"/>
    <w:rsid w:val="00857C24"/>
    <w:rsid w:val="008601FB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B04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0E5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7E0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43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68F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1C9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449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27C57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09E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52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86F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1A5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875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9C1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18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4A5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135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038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037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2B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15F"/>
    <w:rsid w:val="00DB2EFD"/>
    <w:rsid w:val="00DB2F7D"/>
    <w:rsid w:val="00DB3051"/>
    <w:rsid w:val="00DB3214"/>
    <w:rsid w:val="00DB3439"/>
    <w:rsid w:val="00DB38B5"/>
    <w:rsid w:val="00DB38E8"/>
    <w:rsid w:val="00DB3935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689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5952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EAF"/>
    <w:rsid w:val="00E06EE6"/>
    <w:rsid w:val="00E07CC0"/>
    <w:rsid w:val="00E1003C"/>
    <w:rsid w:val="00E107DC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58F8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21E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37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0E2C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1F8"/>
    <w:rsid w:val="00F3389F"/>
    <w:rsid w:val="00F33D17"/>
    <w:rsid w:val="00F35924"/>
    <w:rsid w:val="00F35CD4"/>
    <w:rsid w:val="00F3613C"/>
    <w:rsid w:val="00F36337"/>
    <w:rsid w:val="00F41057"/>
    <w:rsid w:val="00F4123C"/>
    <w:rsid w:val="00F41967"/>
    <w:rsid w:val="00F4237B"/>
    <w:rsid w:val="00F43413"/>
    <w:rsid w:val="00F438DC"/>
    <w:rsid w:val="00F443B7"/>
    <w:rsid w:val="00F45B5E"/>
    <w:rsid w:val="00F45C24"/>
    <w:rsid w:val="00F46ABA"/>
    <w:rsid w:val="00F477E3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2BAF"/>
    <w:rsid w:val="00FA350F"/>
    <w:rsid w:val="00FA364C"/>
    <w:rsid w:val="00FA4576"/>
    <w:rsid w:val="00FA55BC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2C"/>
    <w:rsid w:val="00FC5BF2"/>
    <w:rsid w:val="00FC5DB9"/>
    <w:rsid w:val="00FC6392"/>
    <w:rsid w:val="00FC6538"/>
    <w:rsid w:val="00FC6F98"/>
    <w:rsid w:val="00FD02CD"/>
    <w:rsid w:val="00FD0EB0"/>
    <w:rsid w:val="00FD14EE"/>
    <w:rsid w:val="00FD1F41"/>
    <w:rsid w:val="00FD22E5"/>
    <w:rsid w:val="00FD2E53"/>
    <w:rsid w:val="00FD32B5"/>
    <w:rsid w:val="00FD5E60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1CE7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3</cp:revision>
  <cp:lastPrinted>2019-04-03T15:49:00Z</cp:lastPrinted>
  <dcterms:created xsi:type="dcterms:W3CDTF">2024-04-02T17:34:00Z</dcterms:created>
  <dcterms:modified xsi:type="dcterms:W3CDTF">2024-08-06T20:18:00Z</dcterms:modified>
</cp:coreProperties>
</file>