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sz w:val="13"/>
        </w:rPr>
      </w:pPr>
    </w:p>
    <w:p>
      <w:pPr>
        <w:spacing w:after="0"/>
        <w:rPr>
          <w:sz w:val="13"/>
        </w:rPr>
        <w:sectPr>
          <w:type w:val="continuous"/>
          <w:pgSz w:w="12240" w:h="15840"/>
          <w:pgMar w:top="500" w:bottom="280" w:left="420" w:right="4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0"/>
      </w:pPr>
    </w:p>
    <w:p>
      <w:pPr>
        <w:pStyle w:val="BodyText"/>
        <w:spacing w:before="1"/>
        <w:ind w:left="1020"/>
      </w:pPr>
      <w:r>
        <w:rPr/>
        <w:drawing>
          <wp:anchor distT="0" distB="0" distL="0" distR="0" allowOverlap="1" layoutInCell="1" locked="0" behindDoc="0" simplePos="0" relativeHeight="15729152">
            <wp:simplePos x="0" y="0"/>
            <wp:positionH relativeFrom="page">
              <wp:posOffset>342900</wp:posOffset>
            </wp:positionH>
            <wp:positionV relativeFrom="paragraph">
              <wp:posOffset>-1835325</wp:posOffset>
            </wp:positionV>
            <wp:extent cx="4661255" cy="8134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661255" cy="813434"/>
                    </a:xfrm>
                    <a:prstGeom prst="rect">
                      <a:avLst/>
                    </a:prstGeom>
                  </pic:spPr>
                </pic:pic>
              </a:graphicData>
            </a:graphic>
          </wp:anchor>
        </w:drawing>
      </w:r>
      <w:r>
        <w:rPr/>
        <w:t>January 27, </w:t>
      </w:r>
      <w:r>
        <w:rPr>
          <w:spacing w:val="-4"/>
        </w:rPr>
        <w:t>2022</w:t>
      </w:r>
    </w:p>
    <w:p>
      <w:pPr>
        <w:pStyle w:val="BodyText"/>
      </w:pPr>
    </w:p>
    <w:p>
      <w:pPr>
        <w:pStyle w:val="BodyText"/>
        <w:spacing w:before="275"/>
      </w:pPr>
    </w:p>
    <w:p>
      <w:pPr>
        <w:pStyle w:val="BodyText"/>
        <w:spacing w:before="1"/>
        <w:ind w:left="1020" w:right="3736"/>
      </w:pPr>
      <w:r>
        <w:rPr/>
        <w:t>Dr. Debra Daniels </w:t>
      </w:r>
      <w:r>
        <w:rPr>
          <w:spacing w:val="-2"/>
        </w:rPr>
        <w:t>Superintendent/President </w:t>
      </w:r>
      <w:r>
        <w:rPr/>
        <w:t>Taft College</w:t>
      </w:r>
    </w:p>
    <w:p>
      <w:pPr>
        <w:pStyle w:val="BodyText"/>
        <w:ind w:left="1020"/>
      </w:pPr>
      <w:r>
        <w:rPr/>
        <w:t>29</w:t>
      </w:r>
      <w:r>
        <w:rPr>
          <w:spacing w:val="-3"/>
        </w:rPr>
        <w:t> </w:t>
      </w:r>
      <w:r>
        <w:rPr/>
        <w:t>Cougar</w:t>
      </w:r>
      <w:r>
        <w:rPr>
          <w:spacing w:val="-2"/>
        </w:rPr>
        <w:t> </w:t>
      </w:r>
      <w:r>
        <w:rPr>
          <w:spacing w:val="-4"/>
        </w:rPr>
        <w:t>Court</w:t>
      </w:r>
    </w:p>
    <w:p>
      <w:pPr>
        <w:pStyle w:val="BodyText"/>
        <w:ind w:left="1020"/>
      </w:pPr>
      <w:r>
        <w:rPr/>
        <w:t>Taft,</w:t>
      </w:r>
      <w:r>
        <w:rPr>
          <w:spacing w:val="-2"/>
        </w:rPr>
        <w:t> </w:t>
      </w:r>
      <w:r>
        <w:rPr/>
        <w:t>CA</w:t>
      </w:r>
      <w:r>
        <w:rPr>
          <w:spacing w:val="-2"/>
        </w:rPr>
        <w:t> 93268</w:t>
      </w:r>
    </w:p>
    <w:p>
      <w:pPr>
        <w:pStyle w:val="BodyText"/>
      </w:pPr>
    </w:p>
    <w:p>
      <w:pPr>
        <w:pStyle w:val="BodyText"/>
      </w:pPr>
    </w:p>
    <w:p>
      <w:pPr>
        <w:pStyle w:val="BodyText"/>
        <w:ind w:left="1020"/>
      </w:pPr>
      <w:r>
        <w:rPr/>
        <w:t>Dear</w:t>
      </w:r>
      <w:r>
        <w:rPr>
          <w:spacing w:val="-2"/>
        </w:rPr>
        <w:t> </w:t>
      </w:r>
      <w:r>
        <w:rPr/>
        <w:t>Dr.</w:t>
      </w:r>
      <w:r>
        <w:rPr>
          <w:spacing w:val="-2"/>
        </w:rPr>
        <w:t> Daniels:</w:t>
      </w:r>
    </w:p>
    <w:p>
      <w:pPr>
        <w:spacing w:before="101"/>
        <w:ind w:left="902" w:right="137" w:hanging="783"/>
        <w:jc w:val="left"/>
        <w:rPr>
          <w:rFonts w:ascii="Segoe UI"/>
          <w:sz w:val="22"/>
        </w:rPr>
      </w:pPr>
      <w:r>
        <w:rPr/>
        <w:br w:type="column"/>
      </w:r>
      <w:r>
        <w:rPr>
          <w:rFonts w:ascii="Segoe UI"/>
          <w:color w:val="0E5675"/>
          <w:sz w:val="22"/>
        </w:rPr>
        <w:t>Cindy</w:t>
      </w:r>
      <w:r>
        <w:rPr>
          <w:rFonts w:ascii="Segoe UI"/>
          <w:color w:val="0E5675"/>
          <w:spacing w:val="-11"/>
          <w:sz w:val="22"/>
        </w:rPr>
        <w:t> </w:t>
      </w:r>
      <w:r>
        <w:rPr>
          <w:rFonts w:ascii="Segoe UI"/>
          <w:color w:val="0E5675"/>
          <w:sz w:val="22"/>
        </w:rPr>
        <w:t>Miles,</w:t>
      </w:r>
      <w:r>
        <w:rPr>
          <w:rFonts w:ascii="Segoe UI"/>
          <w:color w:val="0E5675"/>
          <w:spacing w:val="-12"/>
          <w:sz w:val="22"/>
        </w:rPr>
        <w:t> </w:t>
      </w:r>
      <w:r>
        <w:rPr>
          <w:rFonts w:ascii="Segoe UI"/>
          <w:color w:val="0E5675"/>
          <w:sz w:val="22"/>
        </w:rPr>
        <w:t>Interim</w:t>
      </w:r>
      <w:r>
        <w:rPr>
          <w:rFonts w:ascii="Segoe UI"/>
          <w:color w:val="0E5675"/>
          <w:spacing w:val="-12"/>
          <w:sz w:val="22"/>
        </w:rPr>
        <w:t> </w:t>
      </w:r>
      <w:r>
        <w:rPr>
          <w:rFonts w:ascii="Segoe UI"/>
          <w:color w:val="0E5675"/>
          <w:sz w:val="22"/>
        </w:rPr>
        <w:t>President Sonya</w:t>
      </w:r>
      <w:r>
        <w:rPr>
          <w:rFonts w:ascii="Segoe UI"/>
          <w:color w:val="0E5675"/>
          <w:spacing w:val="-5"/>
          <w:sz w:val="22"/>
        </w:rPr>
        <w:t> </w:t>
      </w:r>
      <w:r>
        <w:rPr>
          <w:rFonts w:ascii="Segoe UI"/>
          <w:color w:val="0E5675"/>
          <w:sz w:val="22"/>
        </w:rPr>
        <w:t>Christian,</w:t>
      </w:r>
      <w:r>
        <w:rPr>
          <w:rFonts w:ascii="Segoe UI"/>
          <w:color w:val="0E5675"/>
          <w:spacing w:val="-5"/>
          <w:sz w:val="22"/>
        </w:rPr>
        <w:t> </w:t>
      </w:r>
      <w:r>
        <w:rPr>
          <w:rFonts w:ascii="Segoe UI"/>
          <w:color w:val="0E5675"/>
          <w:spacing w:val="-4"/>
          <w:sz w:val="22"/>
        </w:rPr>
        <w:t>Chair</w:t>
      </w:r>
    </w:p>
    <w:p>
      <w:pPr>
        <w:spacing w:after="0"/>
        <w:jc w:val="left"/>
        <w:rPr>
          <w:rFonts w:ascii="Segoe UI"/>
          <w:sz w:val="22"/>
        </w:rPr>
        <w:sectPr>
          <w:type w:val="continuous"/>
          <w:pgSz w:w="12240" w:h="15840"/>
          <w:pgMar w:top="500" w:bottom="280" w:left="420" w:right="420"/>
          <w:cols w:num="2" w:equalWidth="0">
            <w:col w:w="7501" w:space="748"/>
            <w:col w:w="3151"/>
          </w:cols>
        </w:sectPr>
      </w:pPr>
    </w:p>
    <w:p>
      <w:pPr>
        <w:pStyle w:val="BodyText"/>
        <w:spacing w:before="276"/>
        <w:ind w:left="1019" w:right="989"/>
      </w:pPr>
      <w:r>
        <w:rPr/>
        <w:t>The Accrediting Commission for Community and Junior Colleges, Western Association of Schools and Colleges, at its meeting January 12-14, 2022, reviewed the Institutional Self- Evaluation</w:t>
      </w:r>
      <w:r>
        <w:rPr>
          <w:spacing w:val="-4"/>
        </w:rPr>
        <w:t> </w:t>
      </w:r>
      <w:r>
        <w:rPr/>
        <w:t>Report</w:t>
      </w:r>
      <w:r>
        <w:rPr>
          <w:spacing w:val="-3"/>
        </w:rPr>
        <w:t> </w:t>
      </w:r>
      <w:r>
        <w:rPr/>
        <w:t>(ISER)</w:t>
      </w:r>
      <w:r>
        <w:rPr>
          <w:spacing w:val="-4"/>
        </w:rPr>
        <w:t> </w:t>
      </w:r>
      <w:r>
        <w:rPr/>
        <w:t>and</w:t>
      </w:r>
      <w:r>
        <w:rPr>
          <w:spacing w:val="-4"/>
        </w:rPr>
        <w:t> </w:t>
      </w:r>
      <w:r>
        <w:rPr/>
        <w:t>evidentiary</w:t>
      </w:r>
      <w:r>
        <w:rPr>
          <w:spacing w:val="-7"/>
        </w:rPr>
        <w:t> </w:t>
      </w:r>
      <w:r>
        <w:rPr/>
        <w:t>materials</w:t>
      </w:r>
      <w:r>
        <w:rPr>
          <w:spacing w:val="-3"/>
        </w:rPr>
        <w:t> </w:t>
      </w:r>
      <w:r>
        <w:rPr/>
        <w:t>submitted</w:t>
      </w:r>
      <w:r>
        <w:rPr>
          <w:spacing w:val="-3"/>
        </w:rPr>
        <w:t> </w:t>
      </w:r>
      <w:r>
        <w:rPr/>
        <w:t>by</w:t>
      </w:r>
      <w:r>
        <w:rPr>
          <w:spacing w:val="-10"/>
        </w:rPr>
        <w:t> </w:t>
      </w:r>
      <w:r>
        <w:rPr/>
        <w:t>Taft</w:t>
      </w:r>
      <w:r>
        <w:rPr>
          <w:spacing w:val="-3"/>
        </w:rPr>
        <w:t> </w:t>
      </w:r>
      <w:r>
        <w:rPr/>
        <w:t>College.</w:t>
      </w:r>
      <w:r>
        <w:rPr>
          <w:spacing w:val="-3"/>
        </w:rPr>
        <w:t> </w:t>
      </w:r>
      <w:r>
        <w:rPr/>
        <w:t>The</w:t>
      </w:r>
      <w:r>
        <w:rPr>
          <w:spacing w:val="-4"/>
        </w:rPr>
        <w:t> </w:t>
      </w:r>
      <w:r>
        <w:rPr/>
        <w:t>Commission also considered the Peer Review Team Report (Team Report) prepared by the peer review team that conducted its site visit to the College September 27–30, 2021.</w:t>
      </w:r>
    </w:p>
    <w:p>
      <w:pPr>
        <w:pStyle w:val="BodyText"/>
        <w:spacing w:before="274"/>
        <w:ind w:left="1020" w:right="989"/>
      </w:pPr>
      <w:r>
        <w:rPr/>
        <w:t>The purpose of this review was to determine whether the College continues to meet ACCJC’s Eligibility Requirements, Commission Policies, and Accreditation Standards (hereinafter, the Standards).</w:t>
      </w:r>
      <w:r>
        <w:rPr>
          <w:spacing w:val="-3"/>
        </w:rPr>
        <w:t> </w:t>
      </w:r>
      <w:r>
        <w:rPr/>
        <w:t>Upon</w:t>
      </w:r>
      <w:r>
        <w:rPr>
          <w:spacing w:val="-3"/>
        </w:rPr>
        <w:t> </w:t>
      </w:r>
      <w:r>
        <w:rPr/>
        <w:t>consideration</w:t>
      </w:r>
      <w:r>
        <w:rPr>
          <w:spacing w:val="-3"/>
        </w:rPr>
        <w:t> </w:t>
      </w:r>
      <w:r>
        <w:rPr/>
        <w:t>of</w:t>
      </w:r>
      <w:r>
        <w:rPr>
          <w:spacing w:val="-4"/>
        </w:rPr>
        <w:t> </w:t>
      </w:r>
      <w:r>
        <w:rPr/>
        <w:t>the</w:t>
      </w:r>
      <w:r>
        <w:rPr>
          <w:spacing w:val="-4"/>
        </w:rPr>
        <w:t> </w:t>
      </w:r>
      <w:r>
        <w:rPr/>
        <w:t>written</w:t>
      </w:r>
      <w:r>
        <w:rPr>
          <w:spacing w:val="-3"/>
        </w:rPr>
        <w:t> </w:t>
      </w:r>
      <w:r>
        <w:rPr/>
        <w:t>information</w:t>
      </w:r>
      <w:r>
        <w:rPr>
          <w:spacing w:val="-3"/>
        </w:rPr>
        <w:t> </w:t>
      </w:r>
      <w:r>
        <w:rPr/>
        <w:t>noted</w:t>
      </w:r>
      <w:r>
        <w:rPr>
          <w:spacing w:val="-3"/>
        </w:rPr>
        <w:t> </w:t>
      </w:r>
      <w:r>
        <w:rPr/>
        <w:t>above,</w:t>
      </w:r>
      <w:r>
        <w:rPr>
          <w:spacing w:val="-3"/>
        </w:rPr>
        <w:t> </w:t>
      </w:r>
      <w:r>
        <w:rPr/>
        <w:t>the</w:t>
      </w:r>
      <w:r>
        <w:rPr>
          <w:spacing w:val="-4"/>
        </w:rPr>
        <w:t> </w:t>
      </w:r>
      <w:r>
        <w:rPr/>
        <w:t>Commission</w:t>
      </w:r>
      <w:r>
        <w:rPr>
          <w:spacing w:val="-4"/>
        </w:rPr>
        <w:t> </w:t>
      </w:r>
      <w:r>
        <w:rPr/>
        <w:t>acted</w:t>
      </w:r>
      <w:r>
        <w:rPr>
          <w:spacing w:val="-3"/>
        </w:rPr>
        <w:t> </w:t>
      </w:r>
      <w:r>
        <w:rPr/>
        <w:t>to </w:t>
      </w:r>
      <w:r>
        <w:rPr>
          <w:b/>
        </w:rPr>
        <w:t>Reaffirm Accreditation </w:t>
      </w:r>
      <w:r>
        <w:rPr/>
        <w:t>for seven years.</w:t>
      </w:r>
    </w:p>
    <w:p>
      <w:pPr>
        <w:pStyle w:val="BodyText"/>
        <w:spacing w:line="292" w:lineRule="auto" w:before="276"/>
        <w:ind w:left="1019" w:right="7823"/>
      </w:pPr>
      <w:r>
        <w:rPr>
          <w:u w:val="single"/>
        </w:rPr>
        <w:t>Compliance</w:t>
      </w:r>
      <w:r>
        <w:rPr>
          <w:spacing w:val="-15"/>
          <w:u w:val="single"/>
        </w:rPr>
        <w:t> </w:t>
      </w:r>
      <w:r>
        <w:rPr>
          <w:u w:val="single"/>
        </w:rPr>
        <w:t>Requirements</w:t>
      </w:r>
      <w:r>
        <w:rPr>
          <w:u w:val="none"/>
        </w:rPr>
        <w:t> </w:t>
      </w:r>
      <w:r>
        <w:rPr>
          <w:spacing w:val="-2"/>
          <w:u w:val="none"/>
        </w:rPr>
        <w:t>None.</w:t>
      </w:r>
    </w:p>
    <w:p>
      <w:pPr>
        <w:pStyle w:val="BodyText"/>
        <w:spacing w:before="214"/>
        <w:ind w:left="1019"/>
      </w:pPr>
      <w:r>
        <w:rPr>
          <w:u w:val="single"/>
        </w:rPr>
        <w:t>Next </w:t>
      </w:r>
      <w:r>
        <w:rPr>
          <w:spacing w:val="-2"/>
          <w:u w:val="single"/>
        </w:rPr>
        <w:t>Steps</w:t>
      </w:r>
    </w:p>
    <w:p>
      <w:pPr>
        <w:pStyle w:val="BodyText"/>
        <w:spacing w:before="60"/>
        <w:ind w:left="1020" w:right="989"/>
      </w:pPr>
      <w:r>
        <w:rPr/>
        <w:t>The Peer Review Team Report provides details of the peer review team’s findings, including areas of noteworthy practice. The guidance and recommendations contained in the Peer Review Team</w:t>
      </w:r>
      <w:r>
        <w:rPr>
          <w:spacing w:val="-2"/>
        </w:rPr>
        <w:t> </w:t>
      </w:r>
      <w:r>
        <w:rPr/>
        <w:t>Report</w:t>
      </w:r>
      <w:r>
        <w:rPr>
          <w:spacing w:val="-2"/>
        </w:rPr>
        <w:t> </w:t>
      </w:r>
      <w:r>
        <w:rPr/>
        <w:t>represent</w:t>
      </w:r>
      <w:r>
        <w:rPr>
          <w:spacing w:val="-3"/>
        </w:rPr>
        <w:t> </w:t>
      </w:r>
      <w:r>
        <w:rPr/>
        <w:t>the</w:t>
      </w:r>
      <w:r>
        <w:rPr>
          <w:spacing w:val="-4"/>
        </w:rPr>
        <w:t> </w:t>
      </w:r>
      <w:r>
        <w:rPr/>
        <w:t>best</w:t>
      </w:r>
      <w:r>
        <w:rPr>
          <w:spacing w:val="-2"/>
        </w:rPr>
        <w:t> </w:t>
      </w:r>
      <w:r>
        <w:rPr/>
        <w:t>advice</w:t>
      </w:r>
      <w:r>
        <w:rPr>
          <w:spacing w:val="-3"/>
        </w:rPr>
        <w:t> </w:t>
      </w:r>
      <w:r>
        <w:rPr/>
        <w:t>of</w:t>
      </w:r>
      <w:r>
        <w:rPr>
          <w:spacing w:val="-3"/>
        </w:rPr>
        <w:t> </w:t>
      </w:r>
      <w:r>
        <w:rPr/>
        <w:t>the</w:t>
      </w:r>
      <w:r>
        <w:rPr>
          <w:spacing w:val="-4"/>
        </w:rPr>
        <w:t> </w:t>
      </w:r>
      <w:r>
        <w:rPr/>
        <w:t>team at</w:t>
      </w:r>
      <w:r>
        <w:rPr>
          <w:spacing w:val="-2"/>
        </w:rPr>
        <w:t> </w:t>
      </w:r>
      <w:r>
        <w:rPr/>
        <w:t>the</w:t>
      </w:r>
      <w:r>
        <w:rPr>
          <w:spacing w:val="-4"/>
        </w:rPr>
        <w:t> </w:t>
      </w:r>
      <w:r>
        <w:rPr/>
        <w:t>time</w:t>
      </w:r>
      <w:r>
        <w:rPr>
          <w:spacing w:val="-3"/>
        </w:rPr>
        <w:t> </w:t>
      </w:r>
      <w:r>
        <w:rPr/>
        <w:t>of</w:t>
      </w:r>
      <w:r>
        <w:rPr>
          <w:spacing w:val="-4"/>
        </w:rPr>
        <w:t> </w:t>
      </w:r>
      <w:r>
        <w:rPr/>
        <w:t>the</w:t>
      </w:r>
      <w:r>
        <w:rPr>
          <w:spacing w:val="-4"/>
        </w:rPr>
        <w:t> </w:t>
      </w:r>
      <w:r>
        <w:rPr/>
        <w:t>visit</w:t>
      </w:r>
      <w:r>
        <w:rPr>
          <w:spacing w:val="-2"/>
        </w:rPr>
        <w:t> </w:t>
      </w:r>
      <w:r>
        <w:rPr/>
        <w:t>but</w:t>
      </w:r>
      <w:r>
        <w:rPr>
          <w:spacing w:val="-3"/>
        </w:rPr>
        <w:t> </w:t>
      </w:r>
      <w:r>
        <w:rPr/>
        <w:t>may</w:t>
      </w:r>
      <w:r>
        <w:rPr>
          <w:spacing w:val="-6"/>
        </w:rPr>
        <w:t> </w:t>
      </w:r>
      <w:r>
        <w:rPr/>
        <w:t>not</w:t>
      </w:r>
      <w:r>
        <w:rPr>
          <w:spacing w:val="-3"/>
        </w:rPr>
        <w:t> </w:t>
      </w:r>
      <w:r>
        <w:rPr/>
        <w:t>describe</w:t>
      </w:r>
      <w:r>
        <w:rPr>
          <w:spacing w:val="-4"/>
        </w:rPr>
        <w:t> </w:t>
      </w:r>
      <w:r>
        <w:rPr/>
        <w:t>all that is necessary for the college to improve. A final copy of the Peer Review Team Report is </w:t>
      </w:r>
      <w:r>
        <w:rPr>
          <w:spacing w:val="-2"/>
        </w:rPr>
        <w:t>attached.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587840">
                <wp:simplePos x="0" y="0"/>
                <wp:positionH relativeFrom="page">
                  <wp:posOffset>333375</wp:posOffset>
                </wp:positionH>
                <wp:positionV relativeFrom="paragraph">
                  <wp:posOffset>276902</wp:posOffset>
                </wp:positionV>
                <wp:extent cx="7086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086600" cy="1270"/>
                        </a:xfrm>
                        <a:custGeom>
                          <a:avLst/>
                          <a:gdLst/>
                          <a:ahLst/>
                          <a:cxnLst/>
                          <a:rect l="l" t="t" r="r" b="b"/>
                          <a:pathLst>
                            <a:path w="7086600" h="0">
                              <a:moveTo>
                                <a:pt x="0" y="0"/>
                              </a:moveTo>
                              <a:lnTo>
                                <a:pt x="7086600" y="0"/>
                              </a:lnTo>
                            </a:path>
                          </a:pathLst>
                        </a:custGeom>
                        <a:ln w="12700">
                          <a:solidFill>
                            <a:srgbClr val="0F5675"/>
                          </a:solidFill>
                          <a:prstDash val="solid"/>
                        </a:ln>
                      </wps:spPr>
                      <wps:bodyPr wrap="square" lIns="0" tIns="0" rIns="0" bIns="0" rtlCol="0">
                        <a:prstTxWarp prst="textNoShape">
                          <a:avLst/>
                        </a:prstTxWarp>
                        <a:noAutofit/>
                      </wps:bodyPr>
                    </wps:wsp>
                  </a:graphicData>
                </a:graphic>
              </wp:anchor>
            </w:drawing>
          </mc:Choice>
          <mc:Fallback>
            <w:pict>
              <v:shape style="position:absolute;margin-left:26.25pt;margin-top:21.80337pt;width:558pt;height:.1pt;mso-position-horizontal-relative:page;mso-position-vertical-relative:paragraph;z-index:-15728640;mso-wrap-distance-left:0;mso-wrap-distance-right:0" id="docshape1" coordorigin="525,436" coordsize="11160,0" path="m525,436l11685,436e" filled="false" stroked="true" strokeweight="1pt" strokecolor="#0f5675">
                <v:path arrowok="t"/>
                <v:stroke dashstyle="solid"/>
                <w10:wrap type="topAndBottom"/>
              </v:shape>
            </w:pict>
          </mc:Fallback>
        </mc:AlternateContent>
      </w:r>
    </w:p>
    <w:p>
      <w:pPr>
        <w:pStyle w:val="BodyText"/>
        <w:spacing w:before="7"/>
        <w:rPr>
          <w:sz w:val="20"/>
        </w:rPr>
      </w:pPr>
    </w:p>
    <w:p>
      <w:pPr>
        <w:spacing w:after="0"/>
        <w:rPr>
          <w:sz w:val="20"/>
        </w:rPr>
        <w:sectPr>
          <w:type w:val="continuous"/>
          <w:pgSz w:w="12240" w:h="15840"/>
          <w:pgMar w:top="500" w:bottom="280" w:left="420" w:right="420"/>
        </w:sectPr>
      </w:pPr>
    </w:p>
    <w:p>
      <w:pPr>
        <w:tabs>
          <w:tab w:pos="659" w:val="left" w:leader="none"/>
        </w:tabs>
        <w:spacing w:before="111"/>
        <w:ind w:left="120" w:right="0" w:firstLine="0"/>
        <w:jc w:val="left"/>
        <w:rPr>
          <w:rFonts w:ascii="Segoe UI"/>
          <w:sz w:val="22"/>
        </w:rPr>
      </w:pPr>
      <w:r>
        <w:rPr>
          <w:rFonts w:ascii="Segoe UI"/>
          <w:color w:val="363C3F"/>
          <w:spacing w:val="-4"/>
          <w:sz w:val="22"/>
        </w:rPr>
        <w:t>Tel:</w:t>
      </w:r>
      <w:r>
        <w:rPr>
          <w:rFonts w:ascii="Segoe UI"/>
          <w:color w:val="363C3F"/>
          <w:sz w:val="22"/>
        </w:rPr>
        <w:tab/>
      </w:r>
      <w:r>
        <w:rPr>
          <w:rFonts w:ascii="Segoe UI"/>
          <w:color w:val="363C3F"/>
          <w:spacing w:val="-2"/>
          <w:sz w:val="22"/>
        </w:rPr>
        <w:t>415-506-</w:t>
      </w:r>
      <w:r>
        <w:rPr>
          <w:rFonts w:ascii="Segoe UI"/>
          <w:color w:val="363C3F"/>
          <w:spacing w:val="-4"/>
          <w:sz w:val="22"/>
        </w:rPr>
        <w:t>0234</w:t>
      </w:r>
    </w:p>
    <w:p>
      <w:pPr>
        <w:spacing w:before="101"/>
        <w:ind w:left="148" w:right="0" w:firstLine="0"/>
        <w:jc w:val="left"/>
        <w:rPr>
          <w:rFonts w:ascii="Segoe UI"/>
          <w:sz w:val="22"/>
        </w:rPr>
      </w:pPr>
      <w:r>
        <w:rPr/>
        <w:br w:type="column"/>
      </w:r>
      <w:r>
        <w:rPr>
          <w:rFonts w:ascii="Segoe UI"/>
          <w:color w:val="363C3F"/>
          <w:sz w:val="22"/>
        </w:rPr>
        <w:t>331</w:t>
      </w:r>
      <w:r>
        <w:rPr>
          <w:rFonts w:ascii="Segoe UI"/>
          <w:color w:val="363C3F"/>
          <w:spacing w:val="-3"/>
          <w:sz w:val="22"/>
        </w:rPr>
        <w:t> </w:t>
      </w:r>
      <w:r>
        <w:rPr>
          <w:rFonts w:ascii="Segoe UI"/>
          <w:color w:val="363C3F"/>
          <w:sz w:val="22"/>
        </w:rPr>
        <w:t>J</w:t>
      </w:r>
      <w:r>
        <w:rPr>
          <w:rFonts w:ascii="Segoe UI"/>
          <w:color w:val="363C3F"/>
          <w:spacing w:val="-2"/>
          <w:sz w:val="22"/>
        </w:rPr>
        <w:t> </w:t>
      </w:r>
      <w:r>
        <w:rPr>
          <w:rFonts w:ascii="Segoe UI"/>
          <w:color w:val="363C3F"/>
          <w:sz w:val="22"/>
        </w:rPr>
        <w:t>Street,</w:t>
      </w:r>
      <w:r>
        <w:rPr>
          <w:rFonts w:ascii="Segoe UI"/>
          <w:color w:val="363C3F"/>
          <w:spacing w:val="-5"/>
          <w:sz w:val="22"/>
        </w:rPr>
        <w:t> </w:t>
      </w:r>
      <w:r>
        <w:rPr>
          <w:rFonts w:ascii="Segoe UI"/>
          <w:color w:val="363C3F"/>
          <w:sz w:val="22"/>
        </w:rPr>
        <w:t>Suite</w:t>
      </w:r>
      <w:r>
        <w:rPr>
          <w:rFonts w:ascii="Segoe UI"/>
          <w:color w:val="363C3F"/>
          <w:spacing w:val="-3"/>
          <w:sz w:val="22"/>
        </w:rPr>
        <w:t> </w:t>
      </w:r>
      <w:r>
        <w:rPr>
          <w:rFonts w:ascii="Segoe UI"/>
          <w:color w:val="363C3F"/>
          <w:spacing w:val="-5"/>
          <w:sz w:val="22"/>
        </w:rPr>
        <w:t>200</w:t>
      </w:r>
    </w:p>
    <w:p>
      <w:pPr>
        <w:spacing w:before="0"/>
        <w:ind w:left="120" w:right="0" w:firstLine="0"/>
        <w:jc w:val="left"/>
        <w:rPr>
          <w:rFonts w:ascii="Segoe UI"/>
          <w:sz w:val="22"/>
        </w:rPr>
      </w:pPr>
      <w:r>
        <w:rPr>
          <w:rFonts w:ascii="Segoe UI"/>
          <w:color w:val="363C3F"/>
          <w:sz w:val="22"/>
        </w:rPr>
        <w:t>Sacramento,</w:t>
      </w:r>
      <w:r>
        <w:rPr>
          <w:rFonts w:ascii="Segoe UI"/>
          <w:color w:val="363C3F"/>
          <w:spacing w:val="-5"/>
          <w:sz w:val="22"/>
        </w:rPr>
        <w:t> </w:t>
      </w:r>
      <w:r>
        <w:rPr>
          <w:rFonts w:ascii="Segoe UI"/>
          <w:color w:val="363C3F"/>
          <w:sz w:val="22"/>
        </w:rPr>
        <w:t>CA</w:t>
      </w:r>
      <w:r>
        <w:rPr>
          <w:rFonts w:ascii="Segoe UI"/>
          <w:color w:val="363C3F"/>
          <w:spacing w:val="-6"/>
          <w:sz w:val="22"/>
        </w:rPr>
        <w:t> </w:t>
      </w:r>
      <w:r>
        <w:rPr>
          <w:rFonts w:ascii="Segoe UI"/>
          <w:color w:val="363C3F"/>
          <w:spacing w:val="-2"/>
          <w:sz w:val="22"/>
        </w:rPr>
        <w:t>95814</w:t>
      </w:r>
    </w:p>
    <w:p>
      <w:pPr>
        <w:spacing w:before="108"/>
        <w:ind w:left="120" w:right="0" w:firstLine="0"/>
        <w:jc w:val="left"/>
        <w:rPr>
          <w:rFonts w:ascii="Segoe UI"/>
          <w:sz w:val="22"/>
        </w:rPr>
      </w:pPr>
      <w:r>
        <w:rPr/>
        <w:br w:type="column"/>
      </w:r>
      <w:r>
        <w:rPr>
          <w:rFonts w:ascii="Segoe UI"/>
          <w:color w:val="363C3F"/>
          <w:spacing w:val="-2"/>
          <w:sz w:val="22"/>
        </w:rPr>
        <w:t>accjc.org</w:t>
      </w:r>
    </w:p>
    <w:p>
      <w:pPr>
        <w:spacing w:after="0"/>
        <w:jc w:val="left"/>
        <w:rPr>
          <w:rFonts w:ascii="Segoe UI"/>
          <w:sz w:val="22"/>
        </w:rPr>
        <w:sectPr>
          <w:type w:val="continuous"/>
          <w:pgSz w:w="12240" w:h="15840"/>
          <w:pgMar w:top="500" w:bottom="280" w:left="420" w:right="420"/>
          <w:cols w:num="3" w:equalWidth="0">
            <w:col w:w="2065" w:space="2454"/>
            <w:col w:w="2353" w:space="3441"/>
            <w:col w:w="1087"/>
          </w:cols>
        </w:sectPr>
      </w:pPr>
    </w:p>
    <w:p>
      <w:pPr>
        <w:pStyle w:val="BodyText"/>
        <w:spacing w:before="74"/>
        <w:ind w:left="1020" w:right="989"/>
      </w:pPr>
      <w:r>
        <w:rPr/>
        <w:t>The</w:t>
      </w:r>
      <w:r>
        <w:rPr>
          <w:spacing w:val="-4"/>
        </w:rPr>
        <w:t> </w:t>
      </w:r>
      <w:r>
        <w:rPr/>
        <w:t>Commission</w:t>
      </w:r>
      <w:r>
        <w:rPr>
          <w:spacing w:val="-3"/>
        </w:rPr>
        <w:t> </w:t>
      </w:r>
      <w:r>
        <w:rPr/>
        <w:t>requires</w:t>
      </w:r>
      <w:r>
        <w:rPr>
          <w:spacing w:val="-3"/>
        </w:rPr>
        <w:t> </w:t>
      </w:r>
      <w:r>
        <w:rPr/>
        <w:t>that</w:t>
      </w:r>
      <w:r>
        <w:rPr>
          <w:spacing w:val="-2"/>
        </w:rPr>
        <w:t> </w:t>
      </w:r>
      <w:r>
        <w:rPr/>
        <w:t>you</w:t>
      </w:r>
      <w:r>
        <w:rPr>
          <w:spacing w:val="-3"/>
        </w:rPr>
        <w:t> </w:t>
      </w:r>
      <w:r>
        <w:rPr/>
        <w:t>disseminate</w:t>
      </w:r>
      <w:r>
        <w:rPr>
          <w:spacing w:val="-4"/>
        </w:rPr>
        <w:t> </w:t>
      </w:r>
      <w:r>
        <w:rPr/>
        <w:t>the</w:t>
      </w:r>
      <w:r>
        <w:rPr>
          <w:spacing w:val="-3"/>
        </w:rPr>
        <w:t> </w:t>
      </w:r>
      <w:r>
        <w:rPr/>
        <w:t>ISER,</w:t>
      </w:r>
      <w:r>
        <w:rPr>
          <w:spacing w:val="-3"/>
        </w:rPr>
        <w:t> </w:t>
      </w:r>
      <w:r>
        <w:rPr/>
        <w:t>the</w:t>
      </w:r>
      <w:r>
        <w:rPr>
          <w:spacing w:val="-4"/>
        </w:rPr>
        <w:t> </w:t>
      </w:r>
      <w:r>
        <w:rPr/>
        <w:t>Peer</w:t>
      </w:r>
      <w:r>
        <w:rPr>
          <w:spacing w:val="-4"/>
        </w:rPr>
        <w:t> </w:t>
      </w:r>
      <w:r>
        <w:rPr/>
        <w:t>Review</w:t>
      </w:r>
      <w:r>
        <w:rPr>
          <w:spacing w:val="-3"/>
        </w:rPr>
        <w:t> </w:t>
      </w:r>
      <w:r>
        <w:rPr/>
        <w:t>Team</w:t>
      </w:r>
      <w:r>
        <w:rPr>
          <w:spacing w:val="-3"/>
        </w:rPr>
        <w:t> </w:t>
      </w:r>
      <w:r>
        <w:rPr/>
        <w:t>Report,</w:t>
      </w:r>
      <w:r>
        <w:rPr>
          <w:spacing w:val="-3"/>
        </w:rPr>
        <w:t> </w:t>
      </w:r>
      <w:r>
        <w:rPr/>
        <w:t>and</w:t>
      </w:r>
      <w:r>
        <w:rPr>
          <w:spacing w:val="-3"/>
        </w:rPr>
        <w:t> </w:t>
      </w:r>
      <w:r>
        <w:rPr/>
        <w:t>this letter</w:t>
      </w:r>
      <w:r>
        <w:rPr>
          <w:spacing w:val="-3"/>
        </w:rPr>
        <w:t> </w:t>
      </w:r>
      <w:r>
        <w:rPr/>
        <w:t>to</w:t>
      </w:r>
      <w:r>
        <w:rPr>
          <w:spacing w:val="-2"/>
        </w:rPr>
        <w:t> </w:t>
      </w:r>
      <w:r>
        <w:rPr/>
        <w:t>those</w:t>
      </w:r>
      <w:r>
        <w:rPr>
          <w:spacing w:val="-3"/>
        </w:rPr>
        <w:t> </w:t>
      </w:r>
      <w:r>
        <w:rPr/>
        <w:t>who</w:t>
      </w:r>
      <w:r>
        <w:rPr>
          <w:spacing w:val="-2"/>
        </w:rPr>
        <w:t> </w:t>
      </w:r>
      <w:r>
        <w:rPr/>
        <w:t>were</w:t>
      </w:r>
      <w:r>
        <w:rPr>
          <w:spacing w:val="-1"/>
        </w:rPr>
        <w:t> </w:t>
      </w:r>
      <w:r>
        <w:rPr/>
        <w:t>signatories</w:t>
      </w:r>
      <w:r>
        <w:rPr>
          <w:spacing w:val="-2"/>
        </w:rPr>
        <w:t> </w:t>
      </w:r>
      <w:r>
        <w:rPr/>
        <w:t>of</w:t>
      </w:r>
      <w:r>
        <w:rPr>
          <w:spacing w:val="-3"/>
        </w:rPr>
        <w:t> </w:t>
      </w:r>
      <w:r>
        <w:rPr/>
        <w:t>the</w:t>
      </w:r>
      <w:r>
        <w:rPr>
          <w:spacing w:val="-1"/>
        </w:rPr>
        <w:t> </w:t>
      </w:r>
      <w:r>
        <w:rPr/>
        <w:t>ISER,</w:t>
      </w:r>
      <w:r>
        <w:rPr>
          <w:spacing w:val="-2"/>
        </w:rPr>
        <w:t> </w:t>
      </w:r>
      <w:r>
        <w:rPr/>
        <w:t>and</w:t>
      </w:r>
      <w:r>
        <w:rPr>
          <w:spacing w:val="-2"/>
        </w:rPr>
        <w:t> </w:t>
      </w:r>
      <w:r>
        <w:rPr/>
        <w:t>that you</w:t>
      </w:r>
      <w:r>
        <w:rPr>
          <w:spacing w:val="-2"/>
        </w:rPr>
        <w:t> </w:t>
      </w:r>
      <w:r>
        <w:rPr/>
        <w:t>make</w:t>
      </w:r>
      <w:r>
        <w:rPr>
          <w:spacing w:val="-3"/>
        </w:rPr>
        <w:t> </w:t>
      </w:r>
      <w:r>
        <w:rPr/>
        <w:t>these</w:t>
      </w:r>
      <w:r>
        <w:rPr>
          <w:spacing w:val="-1"/>
        </w:rPr>
        <w:t> </w:t>
      </w:r>
      <w:r>
        <w:rPr/>
        <w:t>documents</w:t>
      </w:r>
      <w:r>
        <w:rPr>
          <w:spacing w:val="-2"/>
        </w:rPr>
        <w:t> </w:t>
      </w:r>
      <w:r>
        <w:rPr/>
        <w:t>available</w:t>
      </w:r>
      <w:r>
        <w:rPr>
          <w:spacing w:val="-3"/>
        </w:rPr>
        <w:t> </w:t>
      </w:r>
      <w:r>
        <w:rPr/>
        <w:t>to all campus constituencies and the public by placing copies on the College website. Please note that in response to public interest in accreditation, the Commission requires institutions to post current accreditation information on a Web page no more than one click from the institution’s home page. In keeping with ACCJC policy, the Commission action will also be posted on the ACCJC website within 30 days of the date of the Commission’s action.</w:t>
      </w:r>
    </w:p>
    <w:p>
      <w:pPr>
        <w:pStyle w:val="BodyText"/>
      </w:pPr>
    </w:p>
    <w:p>
      <w:pPr>
        <w:pStyle w:val="BodyText"/>
        <w:ind w:left="1020" w:right="989"/>
      </w:pPr>
      <w:r>
        <w:rPr/>
        <w:t>The next report from the College will be the Midterm Report</w:t>
      </w:r>
      <w:r>
        <w:rPr>
          <w:vertAlign w:val="superscript"/>
        </w:rPr>
        <w:t>1</w:t>
      </w:r>
      <w:r>
        <w:rPr>
          <w:vertAlign w:val="baseline"/>
        </w:rPr>
        <w:t> due on October 15, 2025. The institution’s</w:t>
      </w:r>
      <w:r>
        <w:rPr>
          <w:spacing w:val="-3"/>
          <w:vertAlign w:val="baseline"/>
        </w:rPr>
        <w:t> </w:t>
      </w:r>
      <w:r>
        <w:rPr>
          <w:vertAlign w:val="baseline"/>
        </w:rPr>
        <w:t>next</w:t>
      </w:r>
      <w:r>
        <w:rPr>
          <w:spacing w:val="-3"/>
          <w:vertAlign w:val="baseline"/>
        </w:rPr>
        <w:t> </w:t>
      </w:r>
      <w:r>
        <w:rPr>
          <w:vertAlign w:val="baseline"/>
        </w:rPr>
        <w:t>comprehensive</w:t>
      </w:r>
      <w:r>
        <w:rPr>
          <w:spacing w:val="-4"/>
          <w:vertAlign w:val="baseline"/>
        </w:rPr>
        <w:t> </w:t>
      </w:r>
      <w:r>
        <w:rPr>
          <w:vertAlign w:val="baseline"/>
        </w:rPr>
        <w:t>review</w:t>
      </w:r>
      <w:r>
        <w:rPr>
          <w:spacing w:val="-4"/>
          <w:vertAlign w:val="baseline"/>
        </w:rPr>
        <w:t> </w:t>
      </w:r>
      <w:r>
        <w:rPr>
          <w:vertAlign w:val="baseline"/>
        </w:rPr>
        <w:t>will</w:t>
      </w:r>
      <w:r>
        <w:rPr>
          <w:spacing w:val="-3"/>
          <w:vertAlign w:val="baseline"/>
        </w:rPr>
        <w:t> </w:t>
      </w:r>
      <w:r>
        <w:rPr>
          <w:vertAlign w:val="baseline"/>
        </w:rPr>
        <w:t>begin</w:t>
      </w:r>
      <w:r>
        <w:rPr>
          <w:spacing w:val="-4"/>
          <w:vertAlign w:val="baseline"/>
        </w:rPr>
        <w:t> </w:t>
      </w:r>
      <w:r>
        <w:rPr>
          <w:vertAlign w:val="baseline"/>
        </w:rPr>
        <w:t>with</w:t>
      </w:r>
      <w:r>
        <w:rPr>
          <w:spacing w:val="-3"/>
          <w:vertAlign w:val="baseline"/>
        </w:rPr>
        <w:t> </w:t>
      </w:r>
      <w:r>
        <w:rPr>
          <w:vertAlign w:val="baseline"/>
        </w:rPr>
        <w:t>Team</w:t>
      </w:r>
      <w:r>
        <w:rPr>
          <w:spacing w:val="-1"/>
          <w:vertAlign w:val="baseline"/>
        </w:rPr>
        <w:t> </w:t>
      </w:r>
      <w:r>
        <w:rPr>
          <w:vertAlign w:val="baseline"/>
        </w:rPr>
        <w:t>ISER</w:t>
      </w:r>
      <w:r>
        <w:rPr>
          <w:spacing w:val="-3"/>
          <w:vertAlign w:val="baseline"/>
        </w:rPr>
        <w:t> </w:t>
      </w:r>
      <w:r>
        <w:rPr>
          <w:vertAlign w:val="baseline"/>
        </w:rPr>
        <w:t>Review</w:t>
      </w:r>
      <w:r>
        <w:rPr>
          <w:spacing w:val="-4"/>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spring</w:t>
      </w:r>
      <w:r>
        <w:rPr>
          <w:spacing w:val="-6"/>
          <w:vertAlign w:val="baseline"/>
        </w:rPr>
        <w:t> </w:t>
      </w:r>
      <w:r>
        <w:rPr>
          <w:vertAlign w:val="baseline"/>
        </w:rPr>
        <w:t>term</w:t>
      </w:r>
      <w:r>
        <w:rPr>
          <w:spacing w:val="-3"/>
          <w:vertAlign w:val="baseline"/>
        </w:rPr>
        <w:t> </w:t>
      </w:r>
      <w:r>
        <w:rPr>
          <w:vertAlign w:val="baseline"/>
        </w:rPr>
        <w:t>of 2028 and conclude with a Focused Site Visit in the fall term of 2028.</w:t>
      </w:r>
    </w:p>
    <w:p>
      <w:pPr>
        <w:pStyle w:val="BodyText"/>
      </w:pPr>
    </w:p>
    <w:p>
      <w:pPr>
        <w:pStyle w:val="BodyText"/>
        <w:ind w:left="1020" w:right="1076"/>
      </w:pPr>
      <w:r>
        <w:rPr/>
        <w:t>On behalf of the Commission, we wish to express appreciation for the diligent work and thoughtful reflection that Taft College undertook to prepare for this review. These efforts confirm</w:t>
      </w:r>
      <w:r>
        <w:rPr>
          <w:spacing w:val="-3"/>
        </w:rPr>
        <w:t> </w:t>
      </w:r>
      <w:r>
        <w:rPr/>
        <w:t>that</w:t>
      </w:r>
      <w:r>
        <w:rPr>
          <w:spacing w:val="-3"/>
        </w:rPr>
        <w:t> </w:t>
      </w:r>
      <w:r>
        <w:rPr/>
        <w:t>peer</w:t>
      </w:r>
      <w:r>
        <w:rPr>
          <w:spacing w:val="-4"/>
        </w:rPr>
        <w:t> </w:t>
      </w:r>
      <w:r>
        <w:rPr/>
        <w:t>review</w:t>
      </w:r>
      <w:r>
        <w:rPr>
          <w:spacing w:val="-2"/>
        </w:rPr>
        <w:t> </w:t>
      </w:r>
      <w:r>
        <w:rPr/>
        <w:t>can</w:t>
      </w:r>
      <w:r>
        <w:rPr>
          <w:spacing w:val="-3"/>
        </w:rPr>
        <w:t> </w:t>
      </w:r>
      <w:r>
        <w:rPr/>
        <w:t>serve</w:t>
      </w:r>
      <w:r>
        <w:rPr>
          <w:spacing w:val="-4"/>
        </w:rPr>
        <w:t> </w:t>
      </w:r>
      <w:r>
        <w:rPr/>
        <w:t>well</w:t>
      </w:r>
      <w:r>
        <w:rPr>
          <w:spacing w:val="-3"/>
        </w:rPr>
        <w:t> </w:t>
      </w:r>
      <w:r>
        <w:rPr/>
        <w:t>the</w:t>
      </w:r>
      <w:r>
        <w:rPr>
          <w:spacing w:val="-4"/>
        </w:rPr>
        <w:t> </w:t>
      </w:r>
      <w:r>
        <w:rPr/>
        <w:t>multiple</w:t>
      </w:r>
      <w:r>
        <w:rPr>
          <w:spacing w:val="-4"/>
        </w:rPr>
        <w:t> </w:t>
      </w:r>
      <w:r>
        <w:rPr/>
        <w:t>constituencies</w:t>
      </w:r>
      <w:r>
        <w:rPr>
          <w:spacing w:val="-3"/>
        </w:rPr>
        <w:t> </w:t>
      </w:r>
      <w:r>
        <w:rPr/>
        <w:t>of</w:t>
      </w:r>
      <w:r>
        <w:rPr>
          <w:spacing w:val="-4"/>
        </w:rPr>
        <w:t> </w:t>
      </w:r>
      <w:r>
        <w:rPr/>
        <w:t>higher</w:t>
      </w:r>
      <w:r>
        <w:rPr>
          <w:spacing w:val="-4"/>
        </w:rPr>
        <w:t> </w:t>
      </w:r>
      <w:r>
        <w:rPr/>
        <w:t>education</w:t>
      </w:r>
      <w:r>
        <w:rPr>
          <w:spacing w:val="-3"/>
        </w:rPr>
        <w:t> </w:t>
      </w:r>
      <w:r>
        <w:rPr/>
        <w:t>by</w:t>
      </w:r>
      <w:r>
        <w:rPr>
          <w:spacing w:val="-8"/>
        </w:rPr>
        <w:t> </w:t>
      </w:r>
      <w:r>
        <w:rPr/>
        <w:t>both ensuring and encouraging institutional quality and effectiveness.</w:t>
      </w:r>
    </w:p>
    <w:p>
      <w:pPr>
        <w:pStyle w:val="BodyText"/>
      </w:pPr>
    </w:p>
    <w:p>
      <w:pPr>
        <w:pStyle w:val="BodyText"/>
        <w:ind w:left="1020" w:right="989"/>
      </w:pPr>
      <w:r>
        <w:rPr/>
        <w:t>If you</w:t>
      </w:r>
      <w:r>
        <w:rPr>
          <w:spacing w:val="-3"/>
        </w:rPr>
        <w:t> </w:t>
      </w:r>
      <w:r>
        <w:rPr/>
        <w:t>have</w:t>
      </w:r>
      <w:r>
        <w:rPr>
          <w:spacing w:val="-2"/>
        </w:rPr>
        <w:t> </w:t>
      </w:r>
      <w:r>
        <w:rPr/>
        <w:t>any</w:t>
      </w:r>
      <w:r>
        <w:rPr>
          <w:spacing w:val="-8"/>
        </w:rPr>
        <w:t> </w:t>
      </w:r>
      <w:r>
        <w:rPr/>
        <w:t>questions</w:t>
      </w:r>
      <w:r>
        <w:rPr>
          <w:spacing w:val="-3"/>
        </w:rPr>
        <w:t> </w:t>
      </w:r>
      <w:r>
        <w:rPr/>
        <w:t>about</w:t>
      </w:r>
      <w:r>
        <w:rPr>
          <w:spacing w:val="-3"/>
        </w:rPr>
        <w:t> </w:t>
      </w:r>
      <w:r>
        <w:rPr/>
        <w:t>this</w:t>
      </w:r>
      <w:r>
        <w:rPr>
          <w:spacing w:val="-3"/>
        </w:rPr>
        <w:t> </w:t>
      </w:r>
      <w:r>
        <w:rPr/>
        <w:t>letter</w:t>
      </w:r>
      <w:r>
        <w:rPr>
          <w:spacing w:val="-4"/>
        </w:rPr>
        <w:t> </w:t>
      </w:r>
      <w:r>
        <w:rPr/>
        <w:t>or</w:t>
      </w:r>
      <w:r>
        <w:rPr>
          <w:spacing w:val="-4"/>
        </w:rPr>
        <w:t> </w:t>
      </w:r>
      <w:r>
        <w:rPr/>
        <w:t>the</w:t>
      </w:r>
      <w:r>
        <w:rPr>
          <w:spacing w:val="-2"/>
        </w:rPr>
        <w:t> </w:t>
      </w:r>
      <w:r>
        <w:rPr/>
        <w:t>Commission’s</w:t>
      </w:r>
      <w:r>
        <w:rPr>
          <w:spacing w:val="-3"/>
        </w:rPr>
        <w:t> </w:t>
      </w:r>
      <w:r>
        <w:rPr/>
        <w:t>action,</w:t>
      </w:r>
      <w:r>
        <w:rPr>
          <w:spacing w:val="-3"/>
        </w:rPr>
        <w:t> </w:t>
      </w:r>
      <w:r>
        <w:rPr/>
        <w:t>please</w:t>
      </w:r>
      <w:r>
        <w:rPr>
          <w:spacing w:val="-4"/>
        </w:rPr>
        <w:t> </w:t>
      </w:r>
      <w:r>
        <w:rPr/>
        <w:t>feel</w:t>
      </w:r>
      <w:r>
        <w:rPr>
          <w:spacing w:val="-3"/>
        </w:rPr>
        <w:t> </w:t>
      </w:r>
      <w:r>
        <w:rPr/>
        <w:t>free</w:t>
      </w:r>
      <w:r>
        <w:rPr>
          <w:spacing w:val="-4"/>
        </w:rPr>
        <w:t> </w:t>
      </w:r>
      <w:r>
        <w:rPr/>
        <w:t>to</w:t>
      </w:r>
      <w:r>
        <w:rPr>
          <w:spacing w:val="-3"/>
        </w:rPr>
        <w:t> </w:t>
      </w:r>
      <w:r>
        <w:rPr/>
        <w:t>contact Dr. Cindy Miles or the vice president assigned as liaison to your institution.</w:t>
      </w:r>
    </w:p>
    <w:p>
      <w:pPr>
        <w:pStyle w:val="BodyText"/>
      </w:pPr>
    </w:p>
    <w:p>
      <w:pPr>
        <w:pStyle w:val="BodyText"/>
        <w:spacing w:before="1"/>
        <w:ind w:left="1020"/>
      </w:pPr>
      <w:r>
        <w:rPr>
          <w:spacing w:val="-2"/>
        </w:rPr>
        <w:t>Sincerely,</w:t>
      </w:r>
    </w:p>
    <w:p>
      <w:pPr>
        <w:pStyle w:val="BodyText"/>
        <w:spacing w:before="6"/>
        <w:rPr>
          <w:sz w:val="3"/>
        </w:rPr>
      </w:pPr>
      <w:r>
        <w:rPr/>
        <w:drawing>
          <wp:anchor distT="0" distB="0" distL="0" distR="0" allowOverlap="1" layoutInCell="1" locked="0" behindDoc="1" simplePos="0" relativeHeight="487588864">
            <wp:simplePos x="0" y="0"/>
            <wp:positionH relativeFrom="page">
              <wp:posOffset>947420</wp:posOffset>
            </wp:positionH>
            <wp:positionV relativeFrom="paragraph">
              <wp:posOffset>145414</wp:posOffset>
            </wp:positionV>
            <wp:extent cx="1449609" cy="44005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449609" cy="440054"/>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3886200</wp:posOffset>
            </wp:positionH>
            <wp:positionV relativeFrom="paragraph">
              <wp:posOffset>41274</wp:posOffset>
            </wp:positionV>
            <wp:extent cx="1783096" cy="4876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783096" cy="487679"/>
                    </a:xfrm>
                    <a:prstGeom prst="rect">
                      <a:avLst/>
                    </a:prstGeom>
                  </pic:spPr>
                </pic:pic>
              </a:graphicData>
            </a:graphic>
          </wp:anchor>
        </w:drawing>
      </w:r>
    </w:p>
    <w:p>
      <w:pPr>
        <w:pStyle w:val="BodyText"/>
        <w:tabs>
          <w:tab w:pos="1739" w:val="left" w:leader="none"/>
          <w:tab w:pos="5699" w:val="left" w:leader="none"/>
        </w:tabs>
        <w:spacing w:line="720" w:lineRule="auto"/>
        <w:ind w:left="1020" w:right="3480"/>
      </w:pPr>
      <w:r>
        <w:rPr/>
        <w:t>Cindy Miles, Ph.D.</w:t>
        <w:tab/>
        <w:t>Sonya</w:t>
      </w:r>
      <w:r>
        <w:rPr>
          <w:spacing w:val="-15"/>
        </w:rPr>
        <w:t> </w:t>
      </w:r>
      <w:r>
        <w:rPr/>
        <w:t>Christian,</w:t>
      </w:r>
      <w:r>
        <w:rPr>
          <w:spacing w:val="-15"/>
        </w:rPr>
        <w:t> </w:t>
      </w:r>
      <w:r>
        <w:rPr/>
        <w:t>Ed.D. </w:t>
      </w:r>
      <w:r>
        <w:rPr>
          <w:spacing w:val="-4"/>
        </w:rPr>
        <w:t>cc:</w:t>
      </w:r>
      <w:r>
        <w:rPr/>
        <w:tab/>
        <w:t>Ms. Xiaohong Li, Accreditation Liaison Officer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294110</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158283pt;width:144pt;height:.599pt;mso-position-horizontal-relative:page;mso-position-vertical-relative:paragraph;z-index:-15726592;mso-wrap-distance-left:0;mso-wrap-distance-right:0" id="docshape2" filled="true" fillcolor="#000000" stroked="false">
                <v:fill type="solid"/>
                <w10:wrap type="topAndBottom"/>
              </v:rect>
            </w:pict>
          </mc:Fallback>
        </mc:AlternateContent>
      </w:r>
    </w:p>
    <w:p>
      <w:pPr>
        <w:spacing w:before="101"/>
        <w:ind w:left="1019" w:right="989" w:firstLine="0"/>
        <w:jc w:val="left"/>
        <w:rPr>
          <w:sz w:val="20"/>
        </w:rPr>
      </w:pPr>
      <w:r>
        <w:rPr>
          <w:sz w:val="20"/>
          <w:vertAlign w:val="superscript"/>
        </w:rPr>
        <w:t>1</w:t>
      </w:r>
      <w:r>
        <w:rPr>
          <w:spacing w:val="-4"/>
          <w:sz w:val="20"/>
          <w:vertAlign w:val="baseline"/>
        </w:rPr>
        <w:t> </w:t>
      </w:r>
      <w:r>
        <w:rPr>
          <w:sz w:val="20"/>
          <w:vertAlign w:val="baseline"/>
        </w:rPr>
        <w:t>Institutions</w:t>
      </w:r>
      <w:r>
        <w:rPr>
          <w:spacing w:val="-5"/>
          <w:sz w:val="20"/>
          <w:vertAlign w:val="baseline"/>
        </w:rPr>
        <w:t> </w:t>
      </w:r>
      <w:r>
        <w:rPr>
          <w:sz w:val="20"/>
          <w:vertAlign w:val="baseline"/>
        </w:rPr>
        <w:t>preparing</w:t>
      </w:r>
      <w:r>
        <w:rPr>
          <w:spacing w:val="-5"/>
          <w:sz w:val="20"/>
          <w:vertAlign w:val="baseline"/>
        </w:rPr>
        <w:t> </w:t>
      </w:r>
      <w:r>
        <w:rPr>
          <w:sz w:val="20"/>
          <w:vertAlign w:val="baseline"/>
        </w:rPr>
        <w:t>and</w:t>
      </w:r>
      <w:r>
        <w:rPr>
          <w:spacing w:val="-3"/>
          <w:sz w:val="20"/>
          <w:vertAlign w:val="baseline"/>
        </w:rPr>
        <w:t> </w:t>
      </w:r>
      <w:r>
        <w:rPr>
          <w:sz w:val="20"/>
          <w:vertAlign w:val="baseline"/>
        </w:rPr>
        <w:t>submitting</w:t>
      </w:r>
      <w:r>
        <w:rPr>
          <w:spacing w:val="-5"/>
          <w:sz w:val="20"/>
          <w:vertAlign w:val="baseline"/>
        </w:rPr>
        <w:t> </w:t>
      </w:r>
      <w:r>
        <w:rPr>
          <w:sz w:val="20"/>
          <w:vertAlign w:val="baseline"/>
        </w:rPr>
        <w:t>Midterm</w:t>
      </w:r>
      <w:r>
        <w:rPr>
          <w:spacing w:val="-5"/>
          <w:sz w:val="20"/>
          <w:vertAlign w:val="baseline"/>
        </w:rPr>
        <w:t> </w:t>
      </w:r>
      <w:r>
        <w:rPr>
          <w:sz w:val="20"/>
          <w:vertAlign w:val="baseline"/>
        </w:rPr>
        <w:t>Reports,</w:t>
      </w:r>
      <w:r>
        <w:rPr>
          <w:spacing w:val="-3"/>
          <w:sz w:val="20"/>
          <w:vertAlign w:val="baseline"/>
        </w:rPr>
        <w:t> </w:t>
      </w:r>
      <w:r>
        <w:rPr>
          <w:sz w:val="20"/>
          <w:vertAlign w:val="baseline"/>
        </w:rPr>
        <w:t>Follow-up</w:t>
      </w:r>
      <w:r>
        <w:rPr>
          <w:spacing w:val="-3"/>
          <w:sz w:val="20"/>
          <w:vertAlign w:val="baseline"/>
        </w:rPr>
        <w:t> </w:t>
      </w:r>
      <w:r>
        <w:rPr>
          <w:sz w:val="20"/>
          <w:vertAlign w:val="baseline"/>
        </w:rPr>
        <w:t>Reports,</w:t>
      </w:r>
      <w:r>
        <w:rPr>
          <w:spacing w:val="-3"/>
          <w:sz w:val="20"/>
          <w:vertAlign w:val="baseline"/>
        </w:rPr>
        <w:t> </w:t>
      </w:r>
      <w:r>
        <w:rPr>
          <w:sz w:val="20"/>
          <w:vertAlign w:val="baseline"/>
        </w:rPr>
        <w:t>Special</w:t>
      </w:r>
      <w:r>
        <w:rPr>
          <w:spacing w:val="-4"/>
          <w:sz w:val="20"/>
          <w:vertAlign w:val="baseline"/>
        </w:rPr>
        <w:t> </w:t>
      </w:r>
      <w:r>
        <w:rPr>
          <w:sz w:val="20"/>
          <w:vertAlign w:val="baseline"/>
        </w:rPr>
        <w:t>Reports,</w:t>
      </w:r>
      <w:r>
        <w:rPr>
          <w:spacing w:val="-3"/>
          <w:sz w:val="20"/>
          <w:vertAlign w:val="baseline"/>
        </w:rPr>
        <w:t> </w:t>
      </w:r>
      <w:r>
        <w:rPr>
          <w:sz w:val="20"/>
          <w:vertAlign w:val="baseline"/>
        </w:rPr>
        <w:t>or</w:t>
      </w:r>
      <w:r>
        <w:rPr>
          <w:spacing w:val="-6"/>
          <w:sz w:val="20"/>
          <w:vertAlign w:val="baseline"/>
        </w:rPr>
        <w:t> </w:t>
      </w:r>
      <w:r>
        <w:rPr>
          <w:sz w:val="20"/>
          <w:vertAlign w:val="baseline"/>
        </w:rPr>
        <w:t>Teach-out Plans/Agreements to the Commission should review </w:t>
      </w:r>
      <w:r>
        <w:rPr>
          <w:i/>
          <w:sz w:val="20"/>
          <w:vertAlign w:val="baseline"/>
        </w:rPr>
        <w:t>Guidelines for Preparing Institutional Reports to the</w:t>
      </w:r>
      <w:r>
        <w:rPr>
          <w:i/>
          <w:sz w:val="20"/>
          <w:vertAlign w:val="baseline"/>
        </w:rPr>
        <w:t> Commission</w:t>
      </w:r>
      <w:r>
        <w:rPr>
          <w:sz w:val="20"/>
          <w:vertAlign w:val="baseline"/>
        </w:rPr>
        <w:t>, found on the ACCJC website at </w:t>
      </w:r>
      <w:r>
        <w:rPr>
          <w:color w:val="0563C1"/>
          <w:sz w:val="20"/>
          <w:u w:val="single" w:color="0563C1"/>
          <w:vertAlign w:val="baseline"/>
        </w:rPr>
        <w:t>https://accjc.org/guides-and-manuals/</w:t>
      </w:r>
      <w:r>
        <w:rPr>
          <w:color w:val="0563C1"/>
          <w:sz w:val="20"/>
          <w:u w:val="none"/>
          <w:vertAlign w:val="baseline"/>
        </w:rPr>
        <w:t> </w:t>
      </w:r>
      <w:r>
        <w:rPr>
          <w:sz w:val="20"/>
          <w:u w:val="none"/>
          <w:vertAlign w:val="baseline"/>
        </w:rPr>
        <w:t>.</w:t>
      </w:r>
    </w:p>
    <w:p>
      <w:pPr>
        <w:pStyle w:val="BodyText"/>
        <w:spacing w:before="228"/>
        <w:ind w:right="1019"/>
        <w:jc w:val="right"/>
      </w:pPr>
      <w:r>
        <w:rPr>
          <w:color w:val="363C3F"/>
          <w:spacing w:val="-10"/>
        </w:rPr>
        <w:t>2</w:t>
      </w:r>
    </w:p>
    <w:sectPr>
      <w:pgSz w:w="12240" w:h="15840"/>
      <w:pgMar w:top="1360" w:bottom="28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2025-04-29T14:39:34Z</dcterms:created>
  <dcterms:modified xsi:type="dcterms:W3CDTF">2025-04-29T14:39:34Z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2025-04-29T00:00:00Z</vt:filetime>
  </property>
</Properties>
</file>